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rPr>
          <w:rFonts w:hint="eastAsia" w:ascii="微软雅黑" w:hAnsi="微软雅黑" w:eastAsia="微软雅黑"/>
          <w:sz w:val="30"/>
          <w:szCs w:val="30"/>
        </w:rPr>
      </w:pPr>
      <w:bookmarkStart w:id="0" w:name="_GoBack"/>
      <w:bookmarkEnd w:id="0"/>
    </w:p>
    <w:p>
      <w:pPr>
        <w:pStyle w:val="2"/>
        <w:rPr>
          <w:rFonts w:ascii="微软雅黑" w:hAnsi="微软雅黑" w:eastAsia="微软雅黑"/>
          <w:sz w:val="30"/>
          <w:szCs w:val="30"/>
        </w:rPr>
      </w:pPr>
      <w:r>
        <w:rPr>
          <w:rFonts w:hint="eastAsia" w:ascii="微软雅黑" w:hAnsi="微软雅黑" w:eastAsia="微软雅黑"/>
          <w:sz w:val="30"/>
          <w:szCs w:val="30"/>
        </w:rPr>
        <w:t>全市残联2025年工作要点</w:t>
      </w:r>
    </w:p>
    <w:p>
      <w:pPr>
        <w:pStyle w:val="40"/>
        <w:rPr>
          <w:rFonts w:hint="eastAsia" w:ascii="微软雅黑" w:hAnsi="微软雅黑" w:eastAsia="微软雅黑"/>
          <w:sz w:val="30"/>
          <w:szCs w:val="30"/>
        </w:rPr>
      </w:pPr>
    </w:p>
    <w:p>
      <w:pPr>
        <w:ind w:firstLine="600"/>
        <w:rPr>
          <w:rFonts w:ascii="微软雅黑" w:hAnsi="微软雅黑" w:eastAsia="微软雅黑"/>
          <w:sz w:val="30"/>
          <w:szCs w:val="30"/>
        </w:rPr>
      </w:pPr>
      <w:r>
        <w:rPr>
          <w:rFonts w:hint="eastAsia" w:ascii="微软雅黑" w:hAnsi="微软雅黑" w:eastAsia="微软雅黑"/>
          <w:sz w:val="30"/>
          <w:szCs w:val="30"/>
        </w:rPr>
        <w:t>2025年是全面贯彻*的二十届三中全会精神、进一步全面深化改革的关键一年，也是“十四五”规划收官，“十五五”规划编制之年。2025年全市残疾人工作的总体要求是：坚持以**************思想为指导，全面贯彻落实*的二十大、二十届二中、三中全会精神，深入学习贯彻******对x重要讲话****精神和******关于残疾人事业重要论述、****批示精神，全面贯彻落实*中央、国务院和省委省政府、市委市政府关于残疾人事业的决策部署，以深化“三抓三促”行动为契机，持续推进“x”工程建设走深走实，高质量完成《x市“十四五”残疾人保障和发展规划》目标任务，着眼x市市情，调研论证、科学编制“十五五”残疾人事业发展规划，进一步完善残疾人社会保障制度和关爱服务体系，更好统筹发展和安全，在中国式现代化x实践进程中贡献残联力量。</w:t>
      </w:r>
    </w:p>
    <w:p>
      <w:pPr>
        <w:ind w:firstLine="600"/>
        <w:rPr>
          <w:rFonts w:hint="eastAsia" w:ascii="微软雅黑" w:hAnsi="微软雅黑" w:eastAsia="微软雅黑"/>
          <w:sz w:val="30"/>
          <w:szCs w:val="30"/>
        </w:rPr>
      </w:pPr>
      <w:r>
        <w:rPr>
          <w:rFonts w:hint="eastAsia" w:ascii="微软雅黑" w:hAnsi="微软雅黑" w:eastAsia="微软雅黑"/>
          <w:sz w:val="30"/>
          <w:szCs w:val="30"/>
        </w:rPr>
        <w:t>一、深入学习贯彻**************思想</w:t>
      </w:r>
    </w:p>
    <w:p>
      <w:pPr>
        <w:ind w:firstLine="600"/>
        <w:rPr>
          <w:rFonts w:ascii="微软雅黑" w:hAnsi="微软雅黑" w:eastAsia="微软雅黑"/>
          <w:sz w:val="30"/>
          <w:szCs w:val="30"/>
        </w:rPr>
      </w:pPr>
      <w:r>
        <w:rPr>
          <w:rFonts w:hint="eastAsia" w:ascii="微软雅黑" w:hAnsi="微软雅黑" w:eastAsia="微软雅黑"/>
          <w:sz w:val="30"/>
          <w:szCs w:val="30"/>
        </w:rPr>
        <w:t>（一）深入学习贯彻*的二十大、二十届二中、三中全会和二十届中央纪委四次全会精神。强化政治建设为引领，把坚持和加强*的领导贯穿残疾人工作全过程各方面，牢牢把握残疾人事业发展方向。落实“以学铸魂、以学增智、以学正风、以学促干”长效机制，巩固dj学习教育成果，引导残联*员干部统一思想和行动，凝聚智慧力量，忠诚拥护“两个确立”、坚决做到“两个维护”。坚持用*的创新理论武装头脑、指导实践、推动工作，围绕健全完善残疾人社会保障制度和关爱服务体系，着眼残疾人事业现代化，固根本、补短板、扬优势，推动全会精神在全市残联系统落地落实。</w:t>
      </w:r>
    </w:p>
    <w:p>
      <w:pPr>
        <w:ind w:firstLine="600"/>
        <w:rPr>
          <w:rFonts w:ascii="微软雅黑" w:hAnsi="微软雅黑" w:eastAsia="微软雅黑"/>
          <w:sz w:val="30"/>
          <w:szCs w:val="30"/>
        </w:rPr>
      </w:pPr>
      <w:r>
        <w:rPr>
          <w:rFonts w:hint="eastAsia" w:ascii="微软雅黑" w:hAnsi="微软雅黑" w:eastAsia="微软雅黑"/>
          <w:sz w:val="30"/>
          <w:szCs w:val="30"/>
        </w:rPr>
        <w:t>（二）认真贯彻落实******对x重要讲话****精神和关于残疾人事业的重要论述、****批示精神。把******对x重要讲话****精神和关于残疾人事业的重要论述、****批示精神作为残疾人工作的根本遵循和行动指南，作为*组理论学习中心组学习、“三会一课”、干部职工学习的重要内容，牢牢把握残疾人事业承担的重要使命、做好残疾人工作的重要原则、残疾人事业发展的重要任务，带领广大残疾人听*话、感*恩、跟*走，切实把******的殷殷嘱托转化为推动全省残疾人事业发展的具体措施、实际成效。</w:t>
      </w:r>
    </w:p>
    <w:p>
      <w:pPr>
        <w:ind w:firstLine="600"/>
        <w:rPr>
          <w:rFonts w:ascii="微软雅黑" w:hAnsi="微软雅黑" w:eastAsia="微软雅黑"/>
          <w:sz w:val="30"/>
          <w:szCs w:val="30"/>
        </w:rPr>
      </w:pPr>
      <w:r>
        <w:rPr>
          <w:rFonts w:hint="eastAsia" w:ascii="微软雅黑" w:hAnsi="微软雅黑" w:eastAsia="微软雅黑"/>
          <w:sz w:val="30"/>
          <w:szCs w:val="30"/>
        </w:rPr>
        <w:t>（三）高质量完成“十四五”规划目标任务，科学编制“十五五”规划。对照梳理，强弱补短，全面完成《x市“十四五”残疾人保障和发展规划》（以下简称《规划》）各项目标任务，组织开展《规划》实施情况总结评估。紧跟*和国家工作大局，紧扣省委省政府部署要求，契合残疾人事业发展的难点、堵点和残疾人可感可及的实事，着眼x市残疾人工作实际，调研论证、科学编制“十五五”规划，统筹制定规划配套实施方案，持续提升残疾人民生保障、精准服务、发展赋能等水平。</w:t>
      </w:r>
    </w:p>
    <w:p>
      <w:pPr>
        <w:ind w:firstLine="600"/>
        <w:rPr>
          <w:rFonts w:ascii="微软雅黑" w:hAnsi="微软雅黑" w:eastAsia="微软雅黑"/>
          <w:sz w:val="30"/>
          <w:szCs w:val="30"/>
        </w:rPr>
      </w:pPr>
      <w:r>
        <w:rPr>
          <w:rFonts w:hint="eastAsia" w:ascii="微软雅黑" w:hAnsi="微软雅黑" w:eastAsia="微软雅黑"/>
          <w:sz w:val="30"/>
          <w:szCs w:val="30"/>
        </w:rPr>
        <w:t>（四）全面贯彻落实中国残联第八届主席团第二次全体会议、第三十九次全国残联工作会议精神和省残联第八届主席团第三次全体会议暨2025年全省残联工作会议精神。深入学习贯彻会议精神，准确把握2025年残疾人工作的总体思路、目标任务、重点难点等，围绕全省残疾人事业全面发展、高质量发展，把编制“十五五”规划、促进残疾人充分就业、加强科技助残运用及解决残疾人急难愁盼问题摆在更加突出的位置，明确思路举措、靠实工作责任，推动中国残联各项部署和省残联工作安排落地见效。</w:t>
      </w:r>
    </w:p>
    <w:p>
      <w:pPr>
        <w:ind w:firstLine="600"/>
        <w:rPr>
          <w:rFonts w:hint="eastAsia" w:ascii="微软雅黑" w:hAnsi="微软雅黑" w:eastAsia="微软雅黑"/>
          <w:sz w:val="30"/>
          <w:szCs w:val="30"/>
        </w:rPr>
      </w:pPr>
      <w:r>
        <w:rPr>
          <w:rFonts w:hint="eastAsia" w:ascii="微软雅黑" w:hAnsi="微软雅黑" w:eastAsia="微软雅黑"/>
          <w:sz w:val="30"/>
          <w:szCs w:val="30"/>
        </w:rPr>
        <w:t>二、深化“三抓三促”行动</w:t>
      </w:r>
    </w:p>
    <w:p>
      <w:pPr>
        <w:ind w:firstLine="600"/>
        <w:rPr>
          <w:rFonts w:ascii="微软雅黑" w:hAnsi="微软雅黑" w:eastAsia="微软雅黑"/>
          <w:sz w:val="30"/>
          <w:szCs w:val="30"/>
        </w:rPr>
      </w:pPr>
      <w:r>
        <w:rPr>
          <w:rFonts w:hint="eastAsia" w:ascii="微软雅黑" w:hAnsi="微软雅黑" w:eastAsia="微软雅黑"/>
          <w:sz w:val="30"/>
          <w:szCs w:val="30"/>
        </w:rPr>
        <w:t>（五）纵深推进三抓三促行动。坚持不懈把“三抓三促”行动作为残联系统深化自我革命、推动作风转变、提升工作能力、促进事业发展的有效抓手，引导全系统*员干部持续在学习上下功夫、在执行上铆足劲、在效能上见真章，促进残疾人就业创业、精准康复、托养照护、教育培训、权益维护、文化体育等工作实现新跃升。</w:t>
      </w:r>
    </w:p>
    <w:p>
      <w:pPr>
        <w:ind w:firstLine="600"/>
        <w:rPr>
          <w:rFonts w:hint="eastAsia" w:ascii="微软雅黑" w:hAnsi="微软雅黑" w:eastAsia="微软雅黑"/>
          <w:sz w:val="30"/>
          <w:szCs w:val="30"/>
        </w:rPr>
      </w:pPr>
      <w:r>
        <w:rPr>
          <w:rFonts w:hint="eastAsia" w:ascii="微软雅黑" w:hAnsi="微软雅黑" w:eastAsia="微软雅黑"/>
          <w:sz w:val="30"/>
          <w:szCs w:val="30"/>
        </w:rPr>
        <w:t>三、提高残疾人社会保障水平</w:t>
      </w:r>
    </w:p>
    <w:p>
      <w:pPr>
        <w:ind w:firstLine="600"/>
        <w:rPr>
          <w:rFonts w:ascii="微软雅黑" w:hAnsi="微软雅黑" w:eastAsia="微软雅黑"/>
          <w:sz w:val="30"/>
          <w:szCs w:val="30"/>
        </w:rPr>
      </w:pPr>
      <w:r>
        <w:rPr>
          <w:rFonts w:hint="eastAsia" w:ascii="微软雅黑" w:hAnsi="微软雅黑" w:eastAsia="微软雅黑"/>
          <w:sz w:val="30"/>
          <w:szCs w:val="30"/>
        </w:rPr>
        <w:t>（六）巩固拓展残疾人脱贫攻坚成果。持续巩固拓展残疾人脱贫攻坚成果，做好防止返贫致贫监测数据与残疾人数据比对，帮助残疾人监测对象分类落实帮扶和兜底政策，确保残疾人不发生规模性返贫。全面巩固拓展农业银行与残联开展的金融助残服务工作，在古浪县积极开展消费助残服务试点工作，发掘更多扶残助残实体，纳入农业银行消费助残推荐系统，形成合作开展消费助残服务有效模式。持续深化东西部协作，加强与蓟州区残联沟通对接，积极引入帮扶资源，推动古浪县、天祝县帮扶项目资金落地，提升全市帮扶残疾人工作实效。</w:t>
      </w:r>
    </w:p>
    <w:p>
      <w:pPr>
        <w:ind w:firstLine="600"/>
        <w:rPr>
          <w:rFonts w:ascii="微软雅黑" w:hAnsi="微软雅黑" w:eastAsia="微软雅黑"/>
          <w:sz w:val="30"/>
          <w:szCs w:val="30"/>
        </w:rPr>
      </w:pPr>
      <w:r>
        <w:rPr>
          <w:rFonts w:hint="eastAsia" w:ascii="微软雅黑" w:hAnsi="微软雅黑" w:eastAsia="微软雅黑"/>
          <w:sz w:val="30"/>
          <w:szCs w:val="30"/>
        </w:rPr>
        <w:t>（七）持续推动“x”工程建设走深走实。贯彻落实全省“结对帮扶·爱心x”工程建设推进会新部署新要求，一体推进“科技助残、服务助残、就业助残、康复助残、文化助残、志愿助残”六大助残行动。继续改造建设1个残疾人日间照料服务省级示范中心和新建5个助残就业“爱心屋”，汇聚更多社会力量扶残助残。认真落实“六统一”“8＋n”工作制度，严格按照“精准核实对象、动态结对管理、落实关爱内容、反映诉求困难、跟进问题解决、跟踪回访反馈”工作机制，扎实推进“结对关爱困难重度残疾人”工作，及时总结推广经验做法，挖掘爱心故事和典型案例，擦亮“爱心x”名片。</w:t>
      </w:r>
    </w:p>
    <w:p>
      <w:pPr>
        <w:ind w:firstLine="600"/>
        <w:rPr>
          <w:rFonts w:ascii="微软雅黑" w:hAnsi="微软雅黑" w:eastAsia="微软雅黑"/>
          <w:sz w:val="30"/>
          <w:szCs w:val="30"/>
        </w:rPr>
      </w:pPr>
      <w:r>
        <w:rPr>
          <w:rFonts w:hint="eastAsia" w:ascii="微软雅黑" w:hAnsi="微软雅黑" w:eastAsia="微软雅黑"/>
          <w:sz w:val="30"/>
          <w:szCs w:val="30"/>
        </w:rPr>
        <w:t>（八）织密兜牢残疾人社会保障网。落实《刚性支出困难家庭认定办法》，做好低收入残疾人数据共享，推动符合条件残疾人社会救助应纳尽纳。配合做好残疾人参加社会保险工作，推动代缴政策落实。实施日间照料和“阳光家园计划”，加强资源整合、创新服务方式，提高服务覆盖面。打造“如意家园”日间照料品牌，实施残疾人托养机构补贴、日间照料服务补贴，指导各县区规范开展各类托养服务。落实“阳光家园计划”项目，鼓励各县区自主实施托养服务补贴，争取全年享受托养照护服务残疾人达到2000人。</w:t>
      </w:r>
    </w:p>
    <w:p>
      <w:pPr>
        <w:ind w:firstLine="600"/>
        <w:rPr>
          <w:rFonts w:hint="eastAsia" w:ascii="微软雅黑" w:hAnsi="微软雅黑" w:eastAsia="微软雅黑"/>
          <w:sz w:val="30"/>
          <w:szCs w:val="30"/>
        </w:rPr>
      </w:pPr>
      <w:r>
        <w:rPr>
          <w:rFonts w:hint="eastAsia" w:ascii="微软雅黑" w:hAnsi="微软雅黑" w:eastAsia="微软雅黑"/>
          <w:sz w:val="30"/>
          <w:szCs w:val="30"/>
        </w:rPr>
        <w:t>四、促进残疾人较为充分较高质量就业</w:t>
      </w:r>
    </w:p>
    <w:p>
      <w:pPr>
        <w:ind w:firstLine="600"/>
        <w:rPr>
          <w:rFonts w:ascii="微软雅黑" w:hAnsi="微软雅黑" w:eastAsia="微软雅黑"/>
          <w:sz w:val="30"/>
          <w:szCs w:val="30"/>
        </w:rPr>
      </w:pPr>
      <w:r>
        <w:rPr>
          <w:rFonts w:hint="eastAsia" w:ascii="微软雅黑" w:hAnsi="微软雅黑" w:eastAsia="微软雅黑"/>
          <w:sz w:val="30"/>
          <w:szCs w:val="30"/>
        </w:rPr>
        <w:t>（九）聚力推进残疾人高质量充分就业。制定市级《促进残疾人就业三年行动方案（2025－2027年）》，开拓就业市场、开发就业岗位，促进更多残疾人实现就业。推动落实企事业单位定向招聘残疾人工作。实施就业帮扶省级示范基地建设、辅助性就业机构补贴、残疾人大学毕业生就业补贴等项目，完善高校残疾人大学生“一人一策”就业服务。全面落实《残疾人职业技能提升计划（2021－2025年）》，确保全面完成市“十四五”规划收官培训3200名的任务。试点开展由职业院校培训轻度残疾人，在日间照料中心、托养中心为重度残疾人提供照护服务的以残助残就业新模式。做实农村残疾人实用技术培训，开展专业、科学、实用的技术指导和服务。加强盲人按摩机构规范化建设，打造“陇原金手指”盲人按摩品牌。</w:t>
      </w:r>
    </w:p>
    <w:p>
      <w:pPr>
        <w:ind w:firstLine="600"/>
        <w:rPr>
          <w:rFonts w:ascii="微软雅黑" w:hAnsi="微软雅黑" w:eastAsia="微软雅黑"/>
          <w:sz w:val="30"/>
          <w:szCs w:val="30"/>
        </w:rPr>
      </w:pPr>
      <w:r>
        <w:rPr>
          <w:rFonts w:hint="eastAsia" w:ascii="微软雅黑" w:hAnsi="微软雅黑" w:eastAsia="微软雅黑"/>
          <w:sz w:val="30"/>
          <w:szCs w:val="30"/>
        </w:rPr>
        <w:t>（十）开展残疾人就业服务系列活动。加强与人社部门的对接合作，充分利用残疾人就业专场招聘会和就业援助月主题活动、直播带岗等服务，广泛宣传残疾人就业优惠政策，加强岗位推送，吸引更多用人单位参与，帮助更多有就业意愿和能力的残疾人实现就业。积极开展职业介绍、职业培训、职业能力测评、产品展销、创业指导、政策宣传等就业服务。</w:t>
      </w:r>
    </w:p>
    <w:p>
      <w:pPr>
        <w:ind w:firstLine="600"/>
        <w:rPr>
          <w:rFonts w:ascii="微软雅黑" w:hAnsi="微软雅黑" w:eastAsia="微软雅黑"/>
          <w:sz w:val="30"/>
          <w:szCs w:val="30"/>
        </w:rPr>
      </w:pPr>
      <w:r>
        <w:rPr>
          <w:rFonts w:hint="eastAsia" w:ascii="微软雅黑" w:hAnsi="微软雅黑" w:eastAsia="微软雅黑"/>
          <w:sz w:val="30"/>
          <w:szCs w:val="30"/>
        </w:rPr>
        <w:t>（十一）加强残保金征管工作。及时与财政、税务等部门协调完善工作联动机制，畅通对接交流渠道，做到底数共摸、信息共享、政策互通、难题共答，形成齐抓共管的良好工作局面，共同营造良好的征缴环境。与编办、税务、财政等部门进行数据比对，精准掌握缴费单位底数。督促各类单位主动吸纳残疾人就业、依法缴纳残保金，以机关、事业单位示范带动各级各类单位、部门、企事业单位做到“应审尽审，应缴尽缴”，切实促进残疾人按比例充分就业。督促指导各县区残联做好全国残疾人按比例就业情况联网认证“跨省通办”年审工作。</w:t>
      </w:r>
    </w:p>
    <w:p>
      <w:pPr>
        <w:ind w:firstLine="600"/>
        <w:rPr>
          <w:rFonts w:hint="eastAsia" w:ascii="微软雅黑" w:hAnsi="微软雅黑" w:eastAsia="微软雅黑"/>
          <w:sz w:val="30"/>
          <w:szCs w:val="30"/>
        </w:rPr>
      </w:pPr>
      <w:r>
        <w:rPr>
          <w:rFonts w:hint="eastAsia" w:ascii="微软雅黑" w:hAnsi="微软雅黑" w:eastAsia="微软雅黑"/>
          <w:sz w:val="30"/>
          <w:szCs w:val="30"/>
        </w:rPr>
        <w:t>五、提升残疾人康复和残疾预防水平</w:t>
      </w:r>
    </w:p>
    <w:p>
      <w:pPr>
        <w:ind w:firstLine="600"/>
        <w:rPr>
          <w:rFonts w:ascii="微软雅黑" w:hAnsi="微软雅黑" w:eastAsia="微软雅黑"/>
          <w:sz w:val="30"/>
          <w:szCs w:val="30"/>
        </w:rPr>
      </w:pPr>
      <w:r>
        <w:rPr>
          <w:rFonts w:hint="eastAsia" w:ascii="微软雅黑" w:hAnsi="微软雅黑" w:eastAsia="微软雅黑"/>
          <w:sz w:val="30"/>
          <w:szCs w:val="30"/>
        </w:rPr>
        <w:t>（十二）促进残疾人康复服务提质增效，提升残疾儿童康复服务质量。实施残疾人精准康复服务行动，落实《残疾人基本康复服务目录（2025版）》，进一步细化完善基本康复服务目录，创新康复服务方式、手段，确保残疾人基本康复服务覆盖率稳定在85％以上。推进《x市残疾人基本型辅助器具适配服务实施方案（试行）》有效实施，满足残疾人辅具适配多样化需求。组织参加全省康复专业技术人员规范化培训，为康复机构规范化建设提供人才支撑。在x区建立残疾人自助互助康复服务基地，促进残疾人社交互动。加强社区康复服务，积极开展精康融合行动。继续推进残疾儿童康复机构业务规范建设评估和规范化建设。落实《0－6岁残疾儿童基本康复服务规范》，对符合条件的残疾儿童“应救尽救”。完成“十四五”残疾儿童早期干预试点任务，推广试点经验。开展孤独症儿童关爱促进行动，落实孤独症儿童发展全程服务体系建设任务和关爱服务措施，开展好“世界孤独症日”宣传教育活动。</w:t>
      </w:r>
    </w:p>
    <w:p>
      <w:pPr>
        <w:ind w:firstLine="600"/>
        <w:rPr>
          <w:rFonts w:ascii="微软雅黑" w:hAnsi="微软雅黑" w:eastAsia="微软雅黑"/>
          <w:sz w:val="30"/>
          <w:szCs w:val="30"/>
        </w:rPr>
      </w:pPr>
      <w:r>
        <w:rPr>
          <w:rFonts w:hint="eastAsia" w:ascii="微软雅黑" w:hAnsi="微软雅黑" w:eastAsia="微软雅黑"/>
          <w:sz w:val="30"/>
          <w:szCs w:val="30"/>
        </w:rPr>
        <w:t>（十三）完善残疾人医疗保障体系，加大残疾预防力度。加强残疾人基本医疗保险参保情况核查，确保低收入残疾人全部加入基本医疗保险。积极对接联系市医保局等部门，推动更多医疗康复项目纳入基本医疗保险支付范围。协调卫生健康部门完善残疾人家庭医生签约服务，提高签约服务实效，推动残疾人友好医疗机构建设，为残疾人提供合理就医便利。全面完成《x市残疾预防行动实施方案（2021－2025年）》各项任务，及时了解掌握各县区、各部门工作进展情况，做好协调、指导，纵深推广残疾预防科技创新经验。会同有关部门组织开展残疾预防日、爱耳日、精神卫生日宣传教育活动，指导各县区开展残疾预防和康复知识宣传活动。</w:t>
      </w:r>
    </w:p>
    <w:p>
      <w:pPr>
        <w:ind w:firstLine="600"/>
        <w:rPr>
          <w:rFonts w:hint="eastAsia" w:ascii="微软雅黑" w:hAnsi="微软雅黑" w:eastAsia="微软雅黑"/>
          <w:sz w:val="30"/>
          <w:szCs w:val="30"/>
        </w:rPr>
      </w:pPr>
      <w:r>
        <w:rPr>
          <w:rFonts w:hint="eastAsia" w:ascii="微软雅黑" w:hAnsi="微软雅黑" w:eastAsia="微软雅黑"/>
          <w:sz w:val="30"/>
          <w:szCs w:val="30"/>
        </w:rPr>
        <w:t>六、健全特殊教育保障机制</w:t>
      </w:r>
    </w:p>
    <w:p>
      <w:pPr>
        <w:ind w:firstLine="600"/>
        <w:rPr>
          <w:rFonts w:ascii="微软雅黑" w:hAnsi="微软雅黑" w:eastAsia="微软雅黑"/>
          <w:sz w:val="30"/>
          <w:szCs w:val="30"/>
        </w:rPr>
      </w:pPr>
      <w:r>
        <w:rPr>
          <w:rFonts w:hint="eastAsia" w:ascii="微软雅黑" w:hAnsi="微软雅黑" w:eastAsia="微软雅黑"/>
          <w:sz w:val="30"/>
          <w:szCs w:val="30"/>
        </w:rPr>
        <w:t>（十四）完善残疾人教育支持保障政策。落实《中国残联办公厅教育部办公厅关于进一步做好普通高等学校单独考试招收残疾考生工作的通知》精神。与职业院校合作，通过外包、代培等方式，帮助有意愿的残疾人取得中职学历，争取有实力的职业院校申请成立残疾人职业教育分院，试点开展完善残疾人职业教育体系。持续提高残疾儿童少年义务教育普及水平，规范送教上门工作，确保适龄残疾儿童入学率达到97％以上。</w:t>
      </w:r>
    </w:p>
    <w:p>
      <w:pPr>
        <w:ind w:firstLine="600"/>
        <w:rPr>
          <w:rFonts w:hint="eastAsia" w:ascii="微软雅黑" w:hAnsi="微软雅黑" w:eastAsia="微软雅黑"/>
          <w:sz w:val="30"/>
          <w:szCs w:val="30"/>
        </w:rPr>
      </w:pPr>
      <w:r>
        <w:rPr>
          <w:rFonts w:hint="eastAsia" w:ascii="微软雅黑" w:hAnsi="微软雅黑" w:eastAsia="微软雅黑"/>
          <w:sz w:val="30"/>
          <w:szCs w:val="30"/>
        </w:rPr>
        <w:t>七、大力推动科技助残发展</w:t>
      </w:r>
    </w:p>
    <w:p>
      <w:pPr>
        <w:ind w:firstLine="600"/>
        <w:rPr>
          <w:rFonts w:ascii="微软雅黑" w:hAnsi="微软雅黑" w:eastAsia="微软雅黑"/>
          <w:sz w:val="30"/>
          <w:szCs w:val="30"/>
        </w:rPr>
      </w:pPr>
      <w:r>
        <w:rPr>
          <w:rFonts w:hint="eastAsia" w:ascii="微软雅黑" w:hAnsi="微软雅黑" w:eastAsia="微软雅黑"/>
          <w:sz w:val="30"/>
          <w:szCs w:val="30"/>
        </w:rPr>
        <w:t>（十五）健全科技助残工作机制，加强科技助残技术推广。结合x市残疾人事业发展实际，摸清科技助残类别化需求底数，充分考虑重点推进与全面推进、近期需求与长远目标，科学合理制定实施计划，通过政策制定、资源整合、项目实施、宣传教育、合作交流等多种方式，不断推动科技助残工作走深走实。充分学习借鉴发达省份先进经验，结合x实际，由易到难、由少到多、循序渐进推动科技助残工作有序有力开展，迅速打开新局面。在全市各级康复机构、特教学校及其它残疾人服务机构示范推广科技助残技术，引导其理念创新、科技赋能、数智引领，着力提升残疾人服务领域科技应用水平。参与康复辅助器具科技助残体验活动，大力推广仿生手、智能腿、ai外骨骼机器人、智能助盲眼镜、脑机交互产品等智能化辅助器具。加大宣传力度，探索开展“互联网＋”康复（辅助器具）服务模式，精准满足更多残疾人服务需求。</w:t>
      </w:r>
    </w:p>
    <w:p>
      <w:pPr>
        <w:ind w:firstLine="600"/>
        <w:rPr>
          <w:rFonts w:hint="eastAsia" w:ascii="微软雅黑" w:hAnsi="微软雅黑" w:eastAsia="微软雅黑"/>
          <w:sz w:val="30"/>
          <w:szCs w:val="30"/>
        </w:rPr>
      </w:pPr>
      <w:r>
        <w:rPr>
          <w:rFonts w:hint="eastAsia" w:ascii="微软雅黑" w:hAnsi="微软雅黑" w:eastAsia="微软雅黑"/>
          <w:sz w:val="30"/>
          <w:szCs w:val="30"/>
        </w:rPr>
        <w:t>八、高质量完成为民实事项目</w:t>
      </w:r>
    </w:p>
    <w:p>
      <w:pPr>
        <w:ind w:firstLine="600"/>
        <w:rPr>
          <w:rFonts w:ascii="微软雅黑" w:hAnsi="微软雅黑" w:eastAsia="微软雅黑"/>
          <w:sz w:val="30"/>
          <w:szCs w:val="30"/>
        </w:rPr>
      </w:pPr>
      <w:r>
        <w:rPr>
          <w:rFonts w:hint="eastAsia" w:ascii="微软雅黑" w:hAnsi="微软雅黑" w:eastAsia="微软雅黑"/>
          <w:sz w:val="30"/>
          <w:szCs w:val="30"/>
        </w:rPr>
        <w:t>（十六）完成困难重度残疾人家庭无障碍改造和残疾人日间照料服务省级示范中心建设项目。补贴155户困难重度残疾人家庭无障碍设施改造，优先安排一户多残、老残一体等特殊困难残疾人家庭，消除困难重度残疾人居家活动、走出家门和融入社会障碍，改善残疾人生活品质。指导各县区争取将困难重度残疾人家庭无障碍改造纳入为民实事、乡村振兴、东西部协作、适老化改造项目，全力满足困难重度残疾人家庭无障碍改造需求。进一步推进残疾人日间照料服务标准化、规范化、优质化，继续按照“六室一工坊”的功能设置，改造古浪县1个残疾人日间照料服务省级示范中心，满足更多残疾人日间生活照料、基本康复训练、文体活动及辅助性就业等方面需求。确保10月底全面完成项目实施。</w:t>
      </w:r>
    </w:p>
    <w:p>
      <w:pPr>
        <w:ind w:firstLine="600"/>
        <w:rPr>
          <w:rFonts w:hint="eastAsia" w:ascii="微软雅黑" w:hAnsi="微软雅黑" w:eastAsia="微软雅黑"/>
          <w:sz w:val="30"/>
          <w:szCs w:val="30"/>
        </w:rPr>
      </w:pPr>
      <w:r>
        <w:rPr>
          <w:rFonts w:hint="eastAsia" w:ascii="微软雅黑" w:hAnsi="微软雅黑" w:eastAsia="微软雅黑"/>
          <w:sz w:val="30"/>
          <w:szCs w:val="30"/>
        </w:rPr>
        <w:t>九、丰富残疾人文化体育生活</w:t>
      </w:r>
    </w:p>
    <w:p>
      <w:pPr>
        <w:ind w:firstLine="600"/>
        <w:rPr>
          <w:rFonts w:ascii="微软雅黑" w:hAnsi="微软雅黑" w:eastAsia="微软雅黑"/>
          <w:sz w:val="30"/>
          <w:szCs w:val="30"/>
        </w:rPr>
      </w:pPr>
      <w:r>
        <w:rPr>
          <w:rFonts w:hint="eastAsia" w:ascii="微软雅黑" w:hAnsi="微软雅黑" w:eastAsia="微软雅黑"/>
          <w:sz w:val="30"/>
          <w:szCs w:val="30"/>
        </w:rPr>
        <w:t>（十七）优化残疾人文化产品和服务供给，推动竞技体育和群众体育全面均衡发展。丰富拓展“全国残疾人文化周”活动内容，组织开展“中国梦、我的梦、自强梦”残疾人文化体育系列活动和“书香中国·阅读有我”残疾人阅读活动。办好全市残疾人文化季活动，组织参加第三届全省残疾人网络征文大赛、第五届全省残疾人读书达人演讲等活动。实施文化进残疾人家庭、进社区项目，丰富基层文化助残服务资源供给。积极对接市图书馆，推广实施盲人数字阅读工程。全面开展“残疾人冰雪运动季”“残疾人健身周”“全国特奥日”三大活动。积极开展残疾人社会体育指导员培训，实施重度残疾人康复健身体育进家庭项目，推动“康乐乡村”项目、“特奥融合”活动和残疾人体育进校园，精准开展康复健身体育服务。</w:t>
      </w:r>
    </w:p>
    <w:p>
      <w:pPr>
        <w:ind w:firstLine="600"/>
        <w:rPr>
          <w:rFonts w:hint="eastAsia" w:ascii="微软雅黑" w:hAnsi="微软雅黑" w:eastAsia="微软雅黑"/>
          <w:sz w:val="30"/>
          <w:szCs w:val="30"/>
        </w:rPr>
      </w:pPr>
      <w:r>
        <w:rPr>
          <w:rFonts w:hint="eastAsia" w:ascii="微软雅黑" w:hAnsi="微软雅黑" w:eastAsia="微软雅黑"/>
          <w:sz w:val="30"/>
          <w:szCs w:val="30"/>
        </w:rPr>
        <w:t>十、保障残疾人合法权益</w:t>
      </w:r>
    </w:p>
    <w:p>
      <w:pPr>
        <w:ind w:firstLine="600"/>
        <w:rPr>
          <w:rFonts w:ascii="微软雅黑" w:hAnsi="微软雅黑" w:eastAsia="微软雅黑"/>
          <w:sz w:val="30"/>
          <w:szCs w:val="30"/>
        </w:rPr>
      </w:pPr>
      <w:r>
        <w:rPr>
          <w:rFonts w:hint="eastAsia" w:ascii="微软雅黑" w:hAnsi="微软雅黑" w:eastAsia="微软雅黑"/>
          <w:sz w:val="30"/>
          <w:szCs w:val="30"/>
        </w:rPr>
        <w:t>（十八）加大残疾人事业法治建设及宣传力度，健全残疾人权益保障机制。深化《残疾人保障法》通过35周年系列活动，大力宣传和贯彻无障碍环境建设法、精神卫生法。落实市委全面依法治市委员会“精准司法服务·温暖残障人群”助推爱心x建设法治实事。全面落实《残疾人尊法学法守法用法专项行动计划（2023—2025年）》，积极做好涉及残疾人权益的立法活动与议案、提案办理，促进惠残项目实施和法规政策落地。继续开展残疾人信访问题源头治理三年攻坚行动，做好领导干部“接访”“下访”工作，推进常态化治理重复信访、化解信访积案。加强与公检法等部门协同配合，以“总对总”强化残疾人矛盾纠纷调处化解，完善法律服务。加强残联系统信访队伍能力建设，及时把残疾人“急难愁盼”问题解决在当地、矛盾纠纷化解在基层。</w:t>
      </w:r>
    </w:p>
    <w:p>
      <w:pPr>
        <w:ind w:firstLine="600"/>
        <w:rPr>
          <w:rFonts w:ascii="微软雅黑" w:hAnsi="微软雅黑" w:eastAsia="微软雅黑"/>
          <w:sz w:val="30"/>
          <w:szCs w:val="30"/>
        </w:rPr>
      </w:pPr>
      <w:r>
        <w:rPr>
          <w:rFonts w:hint="eastAsia" w:ascii="微软雅黑" w:hAnsi="微软雅黑" w:eastAsia="微软雅黑"/>
          <w:sz w:val="30"/>
          <w:szCs w:val="30"/>
        </w:rPr>
        <w:t>（十九）统筹推进城乡无障碍环境建设。贯彻落实《x省无障碍环境建设条例》，配合有关部门做好推进城乡无障碍环境建设、网站和手机app无障碍改造、无障碍环境检察公益诉讼、无障碍环境认证等相关工作。积极参与无障碍设施标准研究制定，推进无障碍建设进校园、进博物馆，持续扩大无障碍知晓度和受益面。探索建立无障碍督导员队伍，积极开展培训。</w:t>
      </w:r>
    </w:p>
    <w:p>
      <w:pPr>
        <w:ind w:firstLine="600"/>
        <w:rPr>
          <w:rFonts w:hint="eastAsia" w:ascii="微软雅黑" w:hAnsi="微软雅黑" w:eastAsia="微软雅黑"/>
          <w:sz w:val="30"/>
          <w:szCs w:val="30"/>
        </w:rPr>
      </w:pPr>
      <w:r>
        <w:rPr>
          <w:rFonts w:hint="eastAsia" w:ascii="微软雅黑" w:hAnsi="微软雅黑" w:eastAsia="微软雅黑"/>
          <w:sz w:val="30"/>
          <w:szCs w:val="30"/>
        </w:rPr>
        <w:t>十一、夯实残疾人事业发展基础</w:t>
      </w:r>
    </w:p>
    <w:p>
      <w:pPr>
        <w:ind w:firstLine="600"/>
        <w:rPr>
          <w:rFonts w:ascii="微软雅黑" w:hAnsi="微软雅黑" w:eastAsia="微软雅黑"/>
          <w:sz w:val="30"/>
          <w:szCs w:val="30"/>
        </w:rPr>
      </w:pPr>
      <w:r>
        <w:rPr>
          <w:rFonts w:hint="eastAsia" w:ascii="微软雅黑" w:hAnsi="微软雅黑" w:eastAsia="微软雅黑"/>
          <w:sz w:val="30"/>
          <w:szCs w:val="30"/>
        </w:rPr>
        <w:t>（二十）加强残疾人工作者和残疾人人才队伍建设。严格按照乡村公益性岗位管理统一要求，细化完善村残协工作规范、专职委员工作规范规定，切实做好村残协专职委员公益性岗位选聘、审核、确认、培训、管理、考核等工作。持续强化村残协规范化建设，为村残协专职委员提供正常履职的必要条件。加强乡镇残联组织建设，建设县、乡、村三级联动互补的基层残疾人服务网络。加强残疾人服务人员的职业能力建设，开展残疾人工作者能力提升培训。</w:t>
      </w:r>
    </w:p>
    <w:p>
      <w:pPr>
        <w:ind w:firstLine="600"/>
        <w:rPr>
          <w:rFonts w:ascii="微软雅黑" w:hAnsi="微软雅黑" w:eastAsia="微软雅黑"/>
          <w:sz w:val="30"/>
          <w:szCs w:val="30"/>
        </w:rPr>
      </w:pPr>
      <w:r>
        <w:rPr>
          <w:rFonts w:hint="eastAsia" w:ascii="微软雅黑" w:hAnsi="微软雅黑" w:eastAsia="微软雅黑"/>
          <w:sz w:val="30"/>
          <w:szCs w:val="30"/>
        </w:rPr>
        <w:t>（二十一）强化残疾人事业支撑保障。积极争取市、县区政府按规定保障好残疾人事业经费。严格按照《2025年残疾人事业发展补助资金预算项目实施方案》，开展预算执行监管及绩效评价，提高财政资金使用效益。做大做优残疾人日间照料服务中心，鼓励引导挖掘更多资源力量参与运营管理、服务供给，做强“如意家园”品牌。落实“过紧日子”相关要求，厉行节约，切实提高财政资源配置效率和使用效益。</w:t>
      </w:r>
    </w:p>
    <w:p>
      <w:pPr>
        <w:ind w:firstLine="600"/>
        <w:rPr>
          <w:rFonts w:ascii="微软雅黑" w:hAnsi="微软雅黑" w:eastAsia="微软雅黑"/>
          <w:sz w:val="30"/>
          <w:szCs w:val="30"/>
        </w:rPr>
      </w:pPr>
      <w:r>
        <w:rPr>
          <w:rFonts w:hint="eastAsia" w:ascii="微软雅黑" w:hAnsi="微软雅黑" w:eastAsia="微软雅黑"/>
          <w:sz w:val="30"/>
          <w:szCs w:val="30"/>
        </w:rPr>
        <w:t>（二十二）营造关爱残疾人的良好社会氛围。做好2024年度“感动x·陇人骄子”宣传推荐工作，接续开展“爱心助残·情满陇原”微视频征集展播活动。邀请各级权威媒体采访、宣传“爱心助残”工作。及时宣传报道年度重点工作、重要事件、重大活动，全面展示残疾人自信自强的精神风貌和各级残联组织担当作为的优良作风。做好全国、全省自强模范暨助残先进典型申报宣传工作。高质量办好全市第35次“全国助残日”系列活动。</w:t>
      </w:r>
    </w:p>
    <w:p>
      <w:pPr>
        <w:ind w:firstLine="600"/>
        <w:rPr>
          <w:rFonts w:ascii="微软雅黑" w:hAnsi="微软雅黑" w:eastAsia="微软雅黑"/>
          <w:sz w:val="30"/>
          <w:szCs w:val="30"/>
        </w:rPr>
      </w:pPr>
      <w:r>
        <w:rPr>
          <w:rFonts w:hint="eastAsia" w:ascii="微软雅黑" w:hAnsi="微软雅黑" w:eastAsia="微软雅黑"/>
          <w:sz w:val="30"/>
          <w:szCs w:val="30"/>
        </w:rPr>
        <w:t>（二十三）防范化解残疾人工作领域风险挑战。牢固树立安全发展理念，加强残疾人服务机构安全管理，强化底线思维，及时整改安全隐患，完善安全管理制度，杜绝事故发生。强化各级残联政治安全、国家安全、意识形态安全、网络安全、**安全等重大风险日常防范措施，特别是加强涉残网络舆情监测、研判、处置，主动防范和化解残疾人工作领域意识形态风险隐患。加强困难重度残疾人保障帮扶，应保尽保、应兜尽兜，严防发生冲击社会道德底线的事件。</w:t>
      </w:r>
    </w:p>
    <w:p>
      <w:pPr>
        <w:ind w:firstLine="600"/>
        <w:rPr>
          <w:rFonts w:hint="eastAsia" w:ascii="微软雅黑" w:hAnsi="微软雅黑" w:eastAsia="微软雅黑"/>
          <w:sz w:val="30"/>
          <w:szCs w:val="30"/>
        </w:rPr>
      </w:pPr>
      <w:r>
        <w:rPr>
          <w:rFonts w:hint="eastAsia" w:ascii="微软雅黑" w:hAnsi="微软雅黑" w:eastAsia="微软雅黑"/>
          <w:sz w:val="30"/>
          <w:szCs w:val="30"/>
        </w:rPr>
        <w:t>十二、持续推动残联改革和自身建设</w:t>
      </w:r>
    </w:p>
    <w:p>
      <w:pPr>
        <w:ind w:firstLine="600"/>
        <w:rPr>
          <w:rFonts w:ascii="微软雅黑" w:hAnsi="微软雅黑" w:eastAsia="微软雅黑"/>
          <w:sz w:val="30"/>
          <w:szCs w:val="30"/>
        </w:rPr>
      </w:pPr>
      <w:r>
        <w:rPr>
          <w:rFonts w:hint="eastAsia" w:ascii="微软雅黑" w:hAnsi="微软雅黑" w:eastAsia="微软雅黑"/>
          <w:sz w:val="30"/>
          <w:szCs w:val="30"/>
        </w:rPr>
        <w:t>（二十四）深入推进残联改革。巩固深化直接联系帮扶工作机制，统筹推进“学听跟”、“走转改”、“邀访·倾听”、困难残疾人家庭访视等工作。推动各县区残联将残疾人工作“嵌入”基层组织履职清单、融入基层治理和乡村振兴全过程。动态协同*委组织部门选优配强残联班子，特别是“一把手”和残疾人干部。广泛开展志愿助残服务，配合开展全国志愿服务“四个100”先进典型宣传活动。继续做好全市残疾人家庭收入状况调查、全市残疾人事业统计。加强残疾人证核发管理，常态化推进残疾人证办理和违规持证清理工作。</w:t>
      </w:r>
    </w:p>
    <w:p>
      <w:pPr>
        <w:ind w:firstLine="600"/>
        <w:rPr>
          <w:rFonts w:ascii="微软雅黑" w:hAnsi="微软雅黑" w:eastAsia="微软雅黑"/>
          <w:sz w:val="30"/>
          <w:szCs w:val="30"/>
        </w:rPr>
      </w:pPr>
      <w:r>
        <w:rPr>
          <w:rFonts w:hint="eastAsia" w:ascii="微软雅黑" w:hAnsi="微软雅黑" w:eastAsia="微软雅黑"/>
          <w:sz w:val="30"/>
          <w:szCs w:val="30"/>
        </w:rPr>
        <w:t>（二十五）办好残疾人服务“一件事”。建立健全“高效办成一件事”重点事项清单管理机制和常态化推进机制，继续为行动不便重度残疾人提供“上门评残”服务，为困难智力、精神残疾人和重度残疾人提供评残补贴。切实推动残疾人证新办、换领、迁移、挂失补办、注销、残疾类别／等级变更，困难残疾人生活补贴、重度残疾人护理补贴，残疾人就业帮扶，城乡居民基本养老保险补助等事项，线下办事“一门办”，线上办事“一网办”，各类事项“一次办”。</w:t>
      </w:r>
    </w:p>
    <w:p>
      <w:pPr>
        <w:ind w:firstLine="600"/>
        <w:rPr>
          <w:rFonts w:ascii="微软雅黑" w:hAnsi="微软雅黑" w:eastAsia="微软雅黑"/>
          <w:sz w:val="30"/>
          <w:szCs w:val="30"/>
        </w:rPr>
      </w:pPr>
      <w:r>
        <w:rPr>
          <w:rFonts w:hint="eastAsia" w:ascii="微软雅黑" w:hAnsi="微软雅黑" w:eastAsia="微软雅黑"/>
          <w:sz w:val="30"/>
          <w:szCs w:val="30"/>
        </w:rPr>
        <w:t>（二十六）推动专门协会规范活跃、可持续发展。不断强化专门协会建设，确保正确发展方向。将专门协会负责人的教育培训纳入残联系统干部队伍教育培训计划予以统筹安排。推动各专门协会持续开展“邀访·倾听”等活动，深入基层调研、积极建言献策、打造品牌活动、推进制定标准规范。加强自身建设，完善各项规章制度，提升社会公信力。持续落实《中国残联关于加强和改进专门协会工作意见》，提升协会联系服务的能力和覆盖面，更好发挥联系服务本类残疾人作用。</w:t>
      </w:r>
    </w:p>
    <w:p>
      <w:pPr>
        <w:ind w:firstLine="600"/>
        <w:rPr>
          <w:rFonts w:hint="eastAsia" w:ascii="微软雅黑" w:hAnsi="微软雅黑" w:eastAsia="微软雅黑"/>
          <w:sz w:val="30"/>
          <w:szCs w:val="30"/>
        </w:rPr>
      </w:pPr>
      <w:r>
        <w:rPr>
          <w:rFonts w:hint="eastAsia" w:ascii="微软雅黑" w:hAnsi="微软雅黑" w:eastAsia="微软雅黑"/>
          <w:sz w:val="30"/>
          <w:szCs w:val="30"/>
        </w:rPr>
        <w:t>十三、全面加强残联*的建设</w:t>
      </w:r>
    </w:p>
    <w:p>
      <w:pPr>
        <w:ind w:firstLine="600"/>
        <w:rPr>
          <w:rFonts w:ascii="微软雅黑" w:hAnsi="微软雅黑" w:eastAsia="微软雅黑"/>
          <w:sz w:val="30"/>
          <w:szCs w:val="30"/>
        </w:rPr>
      </w:pPr>
      <w:r>
        <w:rPr>
          <w:rFonts w:hint="eastAsia" w:ascii="微软雅黑" w:hAnsi="微软雅黑" w:eastAsia="微软雅黑"/>
          <w:sz w:val="30"/>
          <w:szCs w:val="30"/>
        </w:rPr>
        <w:t>（二十七）自觉坚持*对残疾人事业的领导。坚持以**************思想为指导，深入贯彻落实新时代*的建设总要求和新时代*的组织路线，加强残联组织*的建设，把*的领导贯穿残疾人工作各方面全过程。积极争取各级*委、政府对残疾人工作的重视与支持，充分发挥各级政府残疾人工作委员会作用，推动*委、政府把残疾人工作列入重要议事日程，同本地经济社会发展大局同谋划、同部署、同实施。</w:t>
      </w:r>
    </w:p>
    <w:p>
      <w:pPr>
        <w:ind w:firstLine="600"/>
        <w:rPr>
          <w:rFonts w:ascii="微软雅黑" w:hAnsi="微软雅黑" w:eastAsia="微软雅黑"/>
          <w:sz w:val="30"/>
          <w:szCs w:val="30"/>
        </w:rPr>
      </w:pPr>
      <w:r>
        <w:rPr>
          <w:rFonts w:hint="eastAsia" w:ascii="微软雅黑" w:hAnsi="微软雅黑" w:eastAsia="微软雅黑"/>
          <w:sz w:val="30"/>
          <w:szCs w:val="30"/>
        </w:rPr>
        <w:t>（二十八）纵深推进残联全面从严治*。压紧压实管*治*政治责任，推动全面从严治*责任一贯到底。深化巩固拓展dj学习教育成果，引导*员干部学纪、知纪、明纪、守纪，使铁的纪律转化为日常习惯和自觉遵循。深化运用监督执纪“四种形态”，加强对重点领域和关键岗位的管理监督，及时纠正苗头性、倾向性问题。锲而不舍落实中央八项规定及其实施细则精神，深化纠治“四风”，持续深化整治残疾人领域群众身边不正之风和腐败问题，自觉接受派驻监督、巡察监督、审计监督等各方面监督，持续巩固巡察、审计等整改成果，严格防范廉政风险点，持续维护残联风清气正的政治生态。</w:t>
      </w:r>
    </w:p>
    <w:p>
      <w:pPr>
        <w:ind w:firstLine="600"/>
        <w:rPr>
          <w:rFonts w:ascii="微软雅黑" w:hAnsi="微软雅黑" w:eastAsia="微软雅黑"/>
          <w:sz w:val="30"/>
          <w:szCs w:val="30"/>
        </w:rPr>
      </w:pPr>
    </w:p>
    <w:sectPr>
      <w:headerReference r:id="rId7" w:type="first"/>
      <w:footerReference r:id="rId10" w:type="first"/>
      <w:headerReference r:id="rId6" w:type="even"/>
      <w:footerReference r:id="rId9" w:type="even"/>
      <w:headerReference w:type="default" r:id="rId5"/>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C5"/>
    <w:rsid w:val="000059B5"/>
    <w:rsid w:val="00010783"/>
    <w:rsid w:val="0001132C"/>
    <w:rsid w:val="00013D10"/>
    <w:rsid w:val="000149AC"/>
    <w:rsid w:val="00014C8D"/>
    <w:rsid w:val="00024251"/>
    <w:rsid w:val="0002754C"/>
    <w:rsid w:val="00034FFC"/>
    <w:rsid w:val="00041548"/>
    <w:rsid w:val="0004214A"/>
    <w:rsid w:val="000461E7"/>
    <w:rsid w:val="0005160E"/>
    <w:rsid w:val="00055570"/>
    <w:rsid w:val="0006449D"/>
    <w:rsid w:val="00072C1E"/>
    <w:rsid w:val="00073748"/>
    <w:rsid w:val="000819BF"/>
    <w:rsid w:val="000946C5"/>
    <w:rsid w:val="000A2B94"/>
    <w:rsid w:val="000A3A9B"/>
    <w:rsid w:val="000A5BD6"/>
    <w:rsid w:val="000B7227"/>
    <w:rsid w:val="000C11F3"/>
    <w:rsid w:val="000C3FDD"/>
    <w:rsid w:val="000C48F6"/>
    <w:rsid w:val="000C51F8"/>
    <w:rsid w:val="000C7954"/>
    <w:rsid w:val="000D463A"/>
    <w:rsid w:val="000E65BA"/>
    <w:rsid w:val="001032BE"/>
    <w:rsid w:val="001040F7"/>
    <w:rsid w:val="00112510"/>
    <w:rsid w:val="0012070B"/>
    <w:rsid w:val="0012504D"/>
    <w:rsid w:val="00130C4A"/>
    <w:rsid w:val="0013798B"/>
    <w:rsid w:val="00137ECB"/>
    <w:rsid w:val="00152963"/>
    <w:rsid w:val="00164480"/>
    <w:rsid w:val="001646AF"/>
    <w:rsid w:val="001650B2"/>
    <w:rsid w:val="00167968"/>
    <w:rsid w:val="0017393B"/>
    <w:rsid w:val="001740F0"/>
    <w:rsid w:val="00196C5F"/>
    <w:rsid w:val="001B2F08"/>
    <w:rsid w:val="001C198A"/>
    <w:rsid w:val="001C7118"/>
    <w:rsid w:val="001D2D3C"/>
    <w:rsid w:val="001D40BE"/>
    <w:rsid w:val="001E2523"/>
    <w:rsid w:val="001E494D"/>
    <w:rsid w:val="001E7447"/>
    <w:rsid w:val="001F38A8"/>
    <w:rsid w:val="001F57C9"/>
    <w:rsid w:val="001F6732"/>
    <w:rsid w:val="00200693"/>
    <w:rsid w:val="00203EC3"/>
    <w:rsid w:val="00207F51"/>
    <w:rsid w:val="0022081C"/>
    <w:rsid w:val="00223198"/>
    <w:rsid w:val="002265DC"/>
    <w:rsid w:val="002347A3"/>
    <w:rsid w:val="00235A35"/>
    <w:rsid w:val="002504EF"/>
    <w:rsid w:val="0025184B"/>
    <w:rsid w:val="00253932"/>
    <w:rsid w:val="002577A6"/>
    <w:rsid w:val="00262F22"/>
    <w:rsid w:val="00263988"/>
    <w:rsid w:val="002672FF"/>
    <w:rsid w:val="00293300"/>
    <w:rsid w:val="002B0CA1"/>
    <w:rsid w:val="002B48C5"/>
    <w:rsid w:val="002C21AF"/>
    <w:rsid w:val="002C3207"/>
    <w:rsid w:val="002C4220"/>
    <w:rsid w:val="002E143D"/>
    <w:rsid w:val="002E1B80"/>
    <w:rsid w:val="002F5C15"/>
    <w:rsid w:val="002F74E6"/>
    <w:rsid w:val="00325BDD"/>
    <w:rsid w:val="00325BE6"/>
    <w:rsid w:val="00331D5C"/>
    <w:rsid w:val="00332506"/>
    <w:rsid w:val="00363E8B"/>
    <w:rsid w:val="00365E16"/>
    <w:rsid w:val="003662C1"/>
    <w:rsid w:val="00387E75"/>
    <w:rsid w:val="00393B6C"/>
    <w:rsid w:val="003A3873"/>
    <w:rsid w:val="003A4FD2"/>
    <w:rsid w:val="003B5C76"/>
    <w:rsid w:val="003B7BEF"/>
    <w:rsid w:val="003D0FB0"/>
    <w:rsid w:val="003D2544"/>
    <w:rsid w:val="003D3C2D"/>
    <w:rsid w:val="003D558E"/>
    <w:rsid w:val="003E03F1"/>
    <w:rsid w:val="003F22D6"/>
    <w:rsid w:val="004043FC"/>
    <w:rsid w:val="00410795"/>
    <w:rsid w:val="00416953"/>
    <w:rsid w:val="00431336"/>
    <w:rsid w:val="0043770F"/>
    <w:rsid w:val="00446286"/>
    <w:rsid w:val="0045328D"/>
    <w:rsid w:val="004536DB"/>
    <w:rsid w:val="00462363"/>
    <w:rsid w:val="00462BFF"/>
    <w:rsid w:val="0047660E"/>
    <w:rsid w:val="00484CEA"/>
    <w:rsid w:val="00484F0D"/>
    <w:rsid w:val="004955B8"/>
    <w:rsid w:val="004A24FB"/>
    <w:rsid w:val="004B149E"/>
    <w:rsid w:val="004B463B"/>
    <w:rsid w:val="004D30E6"/>
    <w:rsid w:val="004E3752"/>
    <w:rsid w:val="004E3BC6"/>
    <w:rsid w:val="004E7287"/>
    <w:rsid w:val="00504C95"/>
    <w:rsid w:val="00507111"/>
    <w:rsid w:val="0051603B"/>
    <w:rsid w:val="005244F8"/>
    <w:rsid w:val="005358B0"/>
    <w:rsid w:val="00553C98"/>
    <w:rsid w:val="00561827"/>
    <w:rsid w:val="00561A10"/>
    <w:rsid w:val="005718CD"/>
    <w:rsid w:val="005734FD"/>
    <w:rsid w:val="0057405C"/>
    <w:rsid w:val="00590F59"/>
    <w:rsid w:val="00592D86"/>
    <w:rsid w:val="005A3406"/>
    <w:rsid w:val="005A5828"/>
    <w:rsid w:val="005B28ED"/>
    <w:rsid w:val="005C32F4"/>
    <w:rsid w:val="005C7D9B"/>
    <w:rsid w:val="005D3F17"/>
    <w:rsid w:val="005D571F"/>
    <w:rsid w:val="005F361E"/>
    <w:rsid w:val="005F44CB"/>
    <w:rsid w:val="00606BC4"/>
    <w:rsid w:val="006129E0"/>
    <w:rsid w:val="0062550B"/>
    <w:rsid w:val="006325DC"/>
    <w:rsid w:val="00645E8F"/>
    <w:rsid w:val="006469F6"/>
    <w:rsid w:val="00651540"/>
    <w:rsid w:val="006834AF"/>
    <w:rsid w:val="00684086"/>
    <w:rsid w:val="006873CB"/>
    <w:rsid w:val="00691C52"/>
    <w:rsid w:val="00694E9C"/>
    <w:rsid w:val="006A7A1B"/>
    <w:rsid w:val="006C07A6"/>
    <w:rsid w:val="006C5F78"/>
    <w:rsid w:val="006E0823"/>
    <w:rsid w:val="006E4E93"/>
    <w:rsid w:val="006F1FD1"/>
    <w:rsid w:val="006F227A"/>
    <w:rsid w:val="006F7F29"/>
    <w:rsid w:val="00701142"/>
    <w:rsid w:val="00706D87"/>
    <w:rsid w:val="00710000"/>
    <w:rsid w:val="00720361"/>
    <w:rsid w:val="0073484C"/>
    <w:rsid w:val="007413A3"/>
    <w:rsid w:val="00752420"/>
    <w:rsid w:val="00777D54"/>
    <w:rsid w:val="00787E45"/>
    <w:rsid w:val="007A5878"/>
    <w:rsid w:val="007A77F0"/>
    <w:rsid w:val="007B2C23"/>
    <w:rsid w:val="007B3661"/>
    <w:rsid w:val="007C293C"/>
    <w:rsid w:val="007C4E7E"/>
    <w:rsid w:val="007C6705"/>
    <w:rsid w:val="007C7452"/>
    <w:rsid w:val="007D5255"/>
    <w:rsid w:val="007F7F05"/>
    <w:rsid w:val="0080426B"/>
    <w:rsid w:val="00812E1C"/>
    <w:rsid w:val="00832334"/>
    <w:rsid w:val="00843EBE"/>
    <w:rsid w:val="00850B72"/>
    <w:rsid w:val="008547A2"/>
    <w:rsid w:val="00860D4B"/>
    <w:rsid w:val="00861F52"/>
    <w:rsid w:val="0086289F"/>
    <w:rsid w:val="008632A9"/>
    <w:rsid w:val="008646E5"/>
    <w:rsid w:val="00865E02"/>
    <w:rsid w:val="008765AA"/>
    <w:rsid w:val="00884798"/>
    <w:rsid w:val="008A726F"/>
    <w:rsid w:val="008A7415"/>
    <w:rsid w:val="008B71F9"/>
    <w:rsid w:val="008B720D"/>
    <w:rsid w:val="008E2CE0"/>
    <w:rsid w:val="008F0DA0"/>
    <w:rsid w:val="009109D8"/>
    <w:rsid w:val="009515B1"/>
    <w:rsid w:val="009533C4"/>
    <w:rsid w:val="009564A6"/>
    <w:rsid w:val="00961CBC"/>
    <w:rsid w:val="009848D7"/>
    <w:rsid w:val="00992A6E"/>
    <w:rsid w:val="009976E0"/>
    <w:rsid w:val="009A3A59"/>
    <w:rsid w:val="009E0085"/>
    <w:rsid w:val="009E23F5"/>
    <w:rsid w:val="009F023E"/>
    <w:rsid w:val="009F2A80"/>
    <w:rsid w:val="009F3921"/>
    <w:rsid w:val="009F5C1A"/>
    <w:rsid w:val="009F7C1F"/>
    <w:rsid w:val="00A12DBA"/>
    <w:rsid w:val="00A13C66"/>
    <w:rsid w:val="00A1572A"/>
    <w:rsid w:val="00A15E05"/>
    <w:rsid w:val="00A22922"/>
    <w:rsid w:val="00A31D0F"/>
    <w:rsid w:val="00A34478"/>
    <w:rsid w:val="00A356BE"/>
    <w:rsid w:val="00A423E8"/>
    <w:rsid w:val="00A5042F"/>
    <w:rsid w:val="00A52B95"/>
    <w:rsid w:val="00A60C33"/>
    <w:rsid w:val="00A65D4C"/>
    <w:rsid w:val="00A661FC"/>
    <w:rsid w:val="00A74045"/>
    <w:rsid w:val="00A845BA"/>
    <w:rsid w:val="00A85486"/>
    <w:rsid w:val="00A95518"/>
    <w:rsid w:val="00AB3C80"/>
    <w:rsid w:val="00AB5189"/>
    <w:rsid w:val="00AB6EC8"/>
    <w:rsid w:val="00AC5187"/>
    <w:rsid w:val="00AD557A"/>
    <w:rsid w:val="00AF0D84"/>
    <w:rsid w:val="00B13CDA"/>
    <w:rsid w:val="00B2180F"/>
    <w:rsid w:val="00B26105"/>
    <w:rsid w:val="00B265D4"/>
    <w:rsid w:val="00B3483D"/>
    <w:rsid w:val="00B41421"/>
    <w:rsid w:val="00B45FDD"/>
    <w:rsid w:val="00B4678F"/>
    <w:rsid w:val="00B503AF"/>
    <w:rsid w:val="00B75F1F"/>
    <w:rsid w:val="00B7727E"/>
    <w:rsid w:val="00B902C5"/>
    <w:rsid w:val="00B92D3D"/>
    <w:rsid w:val="00BA5B39"/>
    <w:rsid w:val="00BB02F0"/>
    <w:rsid w:val="00BB1773"/>
    <w:rsid w:val="00BD0D80"/>
    <w:rsid w:val="00BD3F11"/>
    <w:rsid w:val="00BE1BAC"/>
    <w:rsid w:val="00BF1772"/>
    <w:rsid w:val="00C12249"/>
    <w:rsid w:val="00C14004"/>
    <w:rsid w:val="00C14B80"/>
    <w:rsid w:val="00C200B1"/>
    <w:rsid w:val="00C22168"/>
    <w:rsid w:val="00C35893"/>
    <w:rsid w:val="00C42D99"/>
    <w:rsid w:val="00C43F8A"/>
    <w:rsid w:val="00C44541"/>
    <w:rsid w:val="00C47EE9"/>
    <w:rsid w:val="00C533F5"/>
    <w:rsid w:val="00C60387"/>
    <w:rsid w:val="00C62212"/>
    <w:rsid w:val="00C631E2"/>
    <w:rsid w:val="00C73F90"/>
    <w:rsid w:val="00C7585E"/>
    <w:rsid w:val="00C815BC"/>
    <w:rsid w:val="00C84B35"/>
    <w:rsid w:val="00C8681B"/>
    <w:rsid w:val="00C9597E"/>
    <w:rsid w:val="00CB4A56"/>
    <w:rsid w:val="00CB4B63"/>
    <w:rsid w:val="00CB7FF4"/>
    <w:rsid w:val="00CD0CFC"/>
    <w:rsid w:val="00CD7A45"/>
    <w:rsid w:val="00CF2527"/>
    <w:rsid w:val="00D00C4B"/>
    <w:rsid w:val="00D15691"/>
    <w:rsid w:val="00D15D54"/>
    <w:rsid w:val="00D1688C"/>
    <w:rsid w:val="00D209EF"/>
    <w:rsid w:val="00D26B51"/>
    <w:rsid w:val="00D44860"/>
    <w:rsid w:val="00D459BE"/>
    <w:rsid w:val="00D54484"/>
    <w:rsid w:val="00D55869"/>
    <w:rsid w:val="00D66EA6"/>
    <w:rsid w:val="00D7062D"/>
    <w:rsid w:val="00D802E2"/>
    <w:rsid w:val="00D8735F"/>
    <w:rsid w:val="00D94CAC"/>
    <w:rsid w:val="00DA56B4"/>
    <w:rsid w:val="00DD39E4"/>
    <w:rsid w:val="00DD7B3D"/>
    <w:rsid w:val="00DD7CA7"/>
    <w:rsid w:val="00DE0352"/>
    <w:rsid w:val="00DE17F6"/>
    <w:rsid w:val="00DF27BD"/>
    <w:rsid w:val="00DF6B92"/>
    <w:rsid w:val="00E00314"/>
    <w:rsid w:val="00E07F74"/>
    <w:rsid w:val="00E27F8B"/>
    <w:rsid w:val="00E307E4"/>
    <w:rsid w:val="00E31DF2"/>
    <w:rsid w:val="00E45146"/>
    <w:rsid w:val="00E506B8"/>
    <w:rsid w:val="00E52942"/>
    <w:rsid w:val="00E548DC"/>
    <w:rsid w:val="00E653F0"/>
    <w:rsid w:val="00E74843"/>
    <w:rsid w:val="00E76D2B"/>
    <w:rsid w:val="00E85E9D"/>
    <w:rsid w:val="00E920A2"/>
    <w:rsid w:val="00E9623D"/>
    <w:rsid w:val="00EB74A9"/>
    <w:rsid w:val="00ED0E3B"/>
    <w:rsid w:val="00EE3FBF"/>
    <w:rsid w:val="00EE555D"/>
    <w:rsid w:val="00EE5790"/>
    <w:rsid w:val="00EF3FD3"/>
    <w:rsid w:val="00F07154"/>
    <w:rsid w:val="00F21486"/>
    <w:rsid w:val="00F3132A"/>
    <w:rsid w:val="00F367A0"/>
    <w:rsid w:val="00F434C7"/>
    <w:rsid w:val="00F51AE3"/>
    <w:rsid w:val="00F74FBB"/>
    <w:rsid w:val="00F75C21"/>
    <w:rsid w:val="00F86A34"/>
    <w:rsid w:val="00F9032E"/>
    <w:rsid w:val="00F92197"/>
    <w:rsid w:val="00F92575"/>
    <w:rsid w:val="00FA0858"/>
    <w:rsid w:val="00FA3903"/>
    <w:rsid w:val="00FA6EB7"/>
    <w:rsid w:val="00FB2900"/>
    <w:rsid w:val="00FE2BC4"/>
    <w:rsid w:val="00FE308F"/>
    <w:rsid w:val="00FF7CCE"/>
    <w:rsid w:val="06C9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semiHidden="0" w:name="heading 2"/>
    <w:lsdException w:uiPriority="9" w:semiHidden="0" w:name="heading 3"/>
    <w:lsdException w:uiPriority="9" w:semiHidden="0" w:name="heading 4"/>
    <w:lsdException w:uiPriority="9" w:semiHidden="0" w:name="heading 5"/>
    <w:lsdException w:uiPriority="9" w:semiHidden="0" w:name="heading 6"/>
    <w:lsdException w:uiPriority="9" w:semiHidden="0" w:name="heading 7"/>
    <w:lsdException w:uiPriority="9" w:semiHidden="0" w:name="heading 8"/>
    <w:lsdException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30"/>
    <w:qFormat/>
    <w:uiPriority w:val="9"/>
    <w:pPr>
      <w:spacing w:line="240" w:lineRule="auto"/>
      <w:ind w:firstLine="0" w:firstLineChars="0"/>
      <w:jc w:val="center"/>
      <w:outlineLvl w:val="0"/>
    </w:pPr>
    <w:rPr>
      <w:rFonts w:eastAsia="方正小标宋简体" w:cstheme="minorBidi"/>
      <w:bCs/>
      <w:kern w:val="44"/>
      <w:sz w:val="44"/>
      <w:szCs w:val="44"/>
    </w:rPr>
  </w:style>
  <w:style w:type="paragraph" w:styleId="3">
    <w:name w:val="heading 2"/>
    <w:basedOn w:val="1"/>
    <w:next w:val="1"/>
    <w:link w:val="41"/>
    <w:unhideWhenUsed/>
    <w:uiPriority w:val="9"/>
    <w:pPr>
      <w:spacing w:line="240" w:lineRule="auto"/>
      <w:ind w:firstLine="0" w:firstLineChars="0"/>
      <w:jc w:val="center"/>
      <w:outlineLvl w:val="1"/>
    </w:pPr>
    <w:rPr>
      <w:rFonts w:eastAsia="楷体" w:cstheme="majorBidi"/>
      <w:bCs/>
      <w:szCs w:val="32"/>
    </w:rPr>
  </w:style>
  <w:style w:type="paragraph" w:styleId="4">
    <w:name w:val="heading 3"/>
    <w:basedOn w:val="1"/>
    <w:next w:val="1"/>
    <w:link w:val="52"/>
    <w:unhideWhenUsed/>
    <w:uiPriority w:val="9"/>
    <w:pPr>
      <w:keepNext/>
      <w:keepLines/>
      <w:spacing w:before="260" w:after="260" w:line="416" w:lineRule="atLeast"/>
      <w:outlineLvl w:val="2"/>
    </w:pPr>
    <w:rPr>
      <w:rFonts w:eastAsia="黑体"/>
      <w:b/>
      <w:bCs/>
      <w:szCs w:val="32"/>
    </w:rPr>
  </w:style>
  <w:style w:type="paragraph" w:styleId="5">
    <w:name w:val="heading 4"/>
    <w:basedOn w:val="1"/>
    <w:next w:val="1"/>
    <w:link w:val="53"/>
    <w:unhideWhenUsed/>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54"/>
    <w:unhideWhenUsed/>
    <w:uiPriority w:val="9"/>
    <w:pPr>
      <w:keepNext/>
      <w:keepLines/>
      <w:spacing w:before="280" w:after="290" w:line="376" w:lineRule="atLeast"/>
      <w:outlineLvl w:val="4"/>
    </w:pPr>
    <w:rPr>
      <w:rFonts w:eastAsia="楷体"/>
      <w:b/>
      <w:bCs/>
      <w:szCs w:val="28"/>
    </w:rPr>
  </w:style>
  <w:style w:type="paragraph" w:styleId="7">
    <w:name w:val="heading 6"/>
    <w:basedOn w:val="1"/>
    <w:next w:val="1"/>
    <w:link w:val="55"/>
    <w:unhideWhenUsed/>
    <w:uiPriority w:val="9"/>
    <w:pPr>
      <w:keepNext/>
      <w:keepLines/>
      <w:spacing w:before="240" w:after="64" w:line="320" w:lineRule="atLeast"/>
      <w:outlineLvl w:val="5"/>
    </w:pPr>
    <w:rPr>
      <w:rFonts w:asciiTheme="majorHAnsi" w:hAnsiTheme="majorHAnsi" w:cstheme="majorBidi"/>
      <w:b/>
      <w:bCs/>
    </w:rPr>
  </w:style>
  <w:style w:type="paragraph" w:styleId="8">
    <w:name w:val="heading 7"/>
    <w:basedOn w:val="1"/>
    <w:next w:val="1"/>
    <w:link w:val="56"/>
    <w:unhideWhenUsed/>
    <w:uiPriority w:val="9"/>
    <w:pPr>
      <w:keepNext/>
      <w:keepLines/>
      <w:outlineLvl w:val="6"/>
    </w:pPr>
    <w:rPr>
      <w:rFonts w:eastAsia="黑体"/>
      <w:b/>
      <w:bCs/>
    </w:rPr>
  </w:style>
  <w:style w:type="paragraph" w:styleId="9">
    <w:name w:val="heading 8"/>
    <w:basedOn w:val="1"/>
    <w:next w:val="1"/>
    <w:link w:val="57"/>
    <w:unhideWhenUsed/>
    <w:uiPriority w:val="9"/>
    <w:pPr>
      <w:keepNext/>
      <w:keepLines/>
      <w:spacing w:before="240" w:after="64" w:line="320" w:lineRule="atLeast"/>
      <w:outlineLvl w:val="7"/>
    </w:pPr>
    <w:rPr>
      <w:rFonts w:asciiTheme="majorHAnsi" w:hAnsiTheme="majorHAnsi" w:eastAsiaTheme="majorEastAsia" w:cstheme="majorBidi"/>
      <w:sz w:val="24"/>
    </w:rPr>
  </w:style>
  <w:style w:type="paragraph" w:styleId="10">
    <w:name w:val="heading 9"/>
    <w:basedOn w:val="1"/>
    <w:next w:val="1"/>
    <w:link w:val="58"/>
    <w:unhideWhenUsed/>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Normal Indent"/>
    <w:basedOn w:val="1"/>
    <w:uiPriority w:val="0"/>
    <w:pPr>
      <w:spacing w:line="240" w:lineRule="auto"/>
      <w:ind w:firstLine="420"/>
    </w:pPr>
    <w:rPr>
      <w:rFonts w:ascii="Calibri" w:hAnsi="Calibri" w:eastAsia="宋体" w:cs="黑体"/>
      <w:sz w:val="21"/>
    </w:rPr>
  </w:style>
  <w:style w:type="paragraph" w:styleId="12">
    <w:name w:val="Body Text"/>
    <w:basedOn w:val="1"/>
    <w:link w:val="59"/>
    <w:qFormat/>
    <w:uiPriority w:val="99"/>
    <w:pPr>
      <w:autoSpaceDE w:val="0"/>
      <w:autoSpaceDN w:val="0"/>
      <w:adjustRightInd w:val="0"/>
      <w:spacing w:line="240" w:lineRule="auto"/>
      <w:ind w:left="115" w:firstLine="0" w:firstLineChars="0"/>
      <w:jc w:val="left"/>
    </w:pPr>
    <w:rPr>
      <w:rFonts w:ascii="仿宋_GB2312" w:eastAsia="仿宋_GB2312" w:cs="仿宋_GB2312"/>
      <w:kern w:val="0"/>
      <w:sz w:val="28"/>
      <w:szCs w:val="28"/>
    </w:rPr>
  </w:style>
  <w:style w:type="paragraph" w:styleId="13">
    <w:name w:val="toc 3"/>
    <w:basedOn w:val="1"/>
    <w:next w:val="1"/>
    <w:semiHidden/>
    <w:unhideWhenUsed/>
    <w:uiPriority w:val="39"/>
    <w:pPr>
      <w:ind w:left="840" w:leftChars="400"/>
    </w:pPr>
  </w:style>
  <w:style w:type="paragraph" w:styleId="14">
    <w:name w:val="Plain Text"/>
    <w:basedOn w:val="1"/>
    <w:link w:val="49"/>
    <w:qFormat/>
    <w:uiPriority w:val="0"/>
    <w:pPr>
      <w:spacing w:line="240" w:lineRule="auto"/>
      <w:ind w:firstLine="0" w:firstLineChars="0"/>
    </w:pPr>
    <w:rPr>
      <w:rFonts w:ascii="宋体" w:hAnsi="Courier New" w:eastAsia="宋体"/>
      <w:sz w:val="21"/>
    </w:rPr>
  </w:style>
  <w:style w:type="paragraph" w:styleId="15">
    <w:name w:val="footer"/>
    <w:basedOn w:val="1"/>
    <w:link w:val="28"/>
    <w:unhideWhenUsed/>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17">
    <w:name w:val="toc 1"/>
    <w:basedOn w:val="1"/>
    <w:next w:val="1"/>
    <w:unhideWhenUsed/>
    <w:uiPriority w:val="39"/>
    <w:rPr>
      <w:rFonts w:asciiTheme="minorHAnsi" w:hAnsiTheme="minorHAnsi" w:eastAsiaTheme="minorEastAsia" w:cstheme="minorBidi"/>
      <w:szCs w:val="22"/>
    </w:rPr>
  </w:style>
  <w:style w:type="paragraph" w:styleId="18">
    <w:name w:val="Subtitle"/>
    <w:basedOn w:val="1"/>
    <w:next w:val="1"/>
    <w:link w:val="64"/>
    <w:uiPriority w:val="11"/>
    <w:pPr>
      <w:spacing w:before="240" w:after="60" w:line="312" w:lineRule="atLeast"/>
      <w:jc w:val="center"/>
      <w:outlineLvl w:val="1"/>
    </w:pPr>
    <w:rPr>
      <w:rFonts w:asciiTheme="minorHAnsi" w:hAnsiTheme="minorHAnsi" w:eastAsiaTheme="minorEastAsia" w:cstheme="minorBidi"/>
      <w:b/>
      <w:bCs/>
      <w:kern w:val="28"/>
      <w:szCs w:val="32"/>
    </w:rPr>
  </w:style>
  <w:style w:type="paragraph" w:styleId="19">
    <w:name w:val="toc 2"/>
    <w:basedOn w:val="1"/>
    <w:next w:val="1"/>
    <w:unhideWhenUsed/>
    <w:uiPriority w:val="39"/>
    <w:pPr>
      <w:ind w:left="420" w:leftChars="200"/>
    </w:pPr>
  </w:style>
  <w:style w:type="paragraph" w:styleId="20">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9"/>
    <w:uiPriority w:val="10"/>
    <w:pPr>
      <w:spacing w:before="240" w:after="60"/>
      <w:outlineLvl w:val="0"/>
    </w:pPr>
    <w:rPr>
      <w:rFonts w:eastAsia="方正小标宋简体" w:asciiTheme="majorHAnsi" w:hAnsiTheme="majorHAnsi" w:cstheme="majorBidi"/>
      <w:b/>
      <w:bCs/>
      <w:sz w:val="44"/>
      <w:szCs w:val="32"/>
    </w:rPr>
  </w:style>
  <w:style w:type="character" w:styleId="24">
    <w:name w:val="Strong"/>
    <w:basedOn w:val="23"/>
    <w:qFormat/>
    <w:uiPriority w:val="22"/>
    <w:rPr>
      <w:bCs/>
    </w:rPr>
  </w:style>
  <w:style w:type="character" w:styleId="25">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6">
    <w:name w:val="Hyperlink"/>
    <w:basedOn w:val="23"/>
    <w:unhideWhenUsed/>
    <w:uiPriority w:val="99"/>
    <w:rPr>
      <w:color w:val="0563C1" w:themeColor="hyperlink"/>
      <w:u w:val="single"/>
      <w14:textFill>
        <w14:solidFill>
          <w14:schemeClr w14:val="hlink"/>
        </w14:solidFill>
      </w14:textFill>
    </w:rPr>
  </w:style>
  <w:style w:type="character" w:customStyle="1" w:styleId="27">
    <w:name w:val="页眉 字符"/>
    <w:basedOn w:val="23"/>
    <w:link w:val="16"/>
    <w:qFormat/>
    <w:uiPriority w:val="99"/>
    <w:rPr>
      <w:sz w:val="18"/>
      <w:szCs w:val="18"/>
    </w:rPr>
  </w:style>
  <w:style w:type="character" w:customStyle="1" w:styleId="28">
    <w:name w:val="页脚 字符"/>
    <w:basedOn w:val="23"/>
    <w:link w:val="15"/>
    <w:qFormat/>
    <w:uiPriority w:val="99"/>
    <w:rPr>
      <w:sz w:val="18"/>
      <w:szCs w:val="18"/>
    </w:rPr>
  </w:style>
  <w:style w:type="character" w:customStyle="1" w:styleId="29">
    <w:name w:val="未处理的提及1"/>
    <w:basedOn w:val="23"/>
    <w:semiHidden/>
    <w:unhideWhenUsed/>
    <w:uiPriority w:val="99"/>
    <w:rPr>
      <w:color w:val="605E5C"/>
      <w:shd w:val="clear" w:color="auto" w:fill="E1DFDD"/>
    </w:rPr>
  </w:style>
  <w:style w:type="character" w:customStyle="1" w:styleId="30">
    <w:name w:val="标题 1 字符"/>
    <w:basedOn w:val="23"/>
    <w:link w:val="2"/>
    <w:qFormat/>
    <w:uiPriority w:val="9"/>
    <w:rPr>
      <w:rFonts w:ascii="Times New Roman" w:hAnsi="Times New Roman" w:eastAsia="方正小标宋简体"/>
      <w:bCs/>
      <w:kern w:val="44"/>
      <w:sz w:val="44"/>
      <w:szCs w:val="44"/>
    </w:rPr>
  </w:style>
  <w:style w:type="paragraph" w:customStyle="1" w:styleId="31">
    <w:name w:val="TOC Heading"/>
    <w:basedOn w:val="2"/>
    <w:next w:val="1"/>
    <w:unhideWhenUsed/>
    <w:uiPriority w:val="39"/>
    <w:pPr>
      <w:widowControl/>
      <w:spacing w:before="24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paragraph" w:customStyle="1" w:styleId="32">
    <w:name w:val="正-文"/>
    <w:basedOn w:val="1"/>
    <w:link w:val="33"/>
    <w:uiPriority w:val="0"/>
    <w:pPr>
      <w:ind w:firstLine="640"/>
    </w:pPr>
    <w:rPr>
      <w:rFonts w:cstheme="minorBidi"/>
      <w:szCs w:val="32"/>
    </w:rPr>
  </w:style>
  <w:style w:type="character" w:customStyle="1" w:styleId="33">
    <w:name w:val="正-文 字符"/>
    <w:basedOn w:val="23"/>
    <w:link w:val="32"/>
    <w:uiPriority w:val="0"/>
    <w:rPr>
      <w:rFonts w:ascii="Times New Roman" w:hAnsi="Times New Roman" w:eastAsia="仿宋"/>
      <w:sz w:val="32"/>
      <w:szCs w:val="32"/>
    </w:rPr>
  </w:style>
  <w:style w:type="paragraph" w:customStyle="1" w:styleId="34">
    <w:name w:val="标-题-2"/>
    <w:basedOn w:val="32"/>
    <w:link w:val="35"/>
    <w:uiPriority w:val="0"/>
    <w:pPr>
      <w:ind w:firstLine="592"/>
    </w:pPr>
    <w:rPr>
      <w:rFonts w:ascii="楷体" w:hAnsi="楷体" w:eastAsia="楷体"/>
      <w:b/>
    </w:rPr>
  </w:style>
  <w:style w:type="character" w:customStyle="1" w:styleId="35">
    <w:name w:val="标-题-2 字符"/>
    <w:basedOn w:val="33"/>
    <w:link w:val="34"/>
    <w:uiPriority w:val="0"/>
    <w:rPr>
      <w:rFonts w:ascii="楷体" w:hAnsi="楷体" w:eastAsia="楷体"/>
      <w:b/>
      <w:sz w:val="32"/>
      <w:szCs w:val="32"/>
    </w:rPr>
  </w:style>
  <w:style w:type="paragraph" w:customStyle="1" w:styleId="36">
    <w:name w:val="大-标-题"/>
    <w:basedOn w:val="1"/>
    <w:link w:val="37"/>
    <w:uiPriority w:val="0"/>
    <w:rPr>
      <w:rFonts w:ascii="方正小标宋简体" w:hAnsi="仿宋" w:eastAsia="方正小标宋简体" w:cstheme="minorBidi"/>
      <w:spacing w:val="20"/>
      <w:kern w:val="0"/>
      <w:sz w:val="44"/>
      <w:szCs w:val="44"/>
    </w:rPr>
  </w:style>
  <w:style w:type="character" w:customStyle="1" w:styleId="37">
    <w:name w:val="大-标-题 字符"/>
    <w:basedOn w:val="23"/>
    <w:link w:val="36"/>
    <w:uiPriority w:val="0"/>
    <w:rPr>
      <w:rFonts w:ascii="方正小标宋简体" w:hAnsi="仿宋" w:eastAsia="方正小标宋简体"/>
      <w:spacing w:val="20"/>
      <w:kern w:val="0"/>
      <w:sz w:val="44"/>
      <w:szCs w:val="44"/>
    </w:rPr>
  </w:style>
  <w:style w:type="paragraph" w:customStyle="1" w:styleId="38">
    <w:name w:val="sp_title"/>
    <w:basedOn w:val="1"/>
    <w:uiPriority w:val="0"/>
    <w:pPr>
      <w:widowControl/>
      <w:spacing w:before="100" w:beforeAutospacing="1" w:after="100" w:afterAutospacing="1"/>
      <w:jc w:val="left"/>
    </w:pPr>
    <w:rPr>
      <w:rFonts w:ascii="宋体" w:hAnsi="宋体" w:cs="宋体"/>
      <w:kern w:val="0"/>
      <w:sz w:val="24"/>
    </w:rPr>
  </w:style>
  <w:style w:type="character" w:customStyle="1" w:styleId="39">
    <w:name w:val="标题 字符"/>
    <w:basedOn w:val="23"/>
    <w:link w:val="21"/>
    <w:uiPriority w:val="10"/>
    <w:rPr>
      <w:rFonts w:eastAsia="方正小标宋简体" w:asciiTheme="majorHAnsi" w:hAnsiTheme="majorHAnsi" w:cstheme="majorBidi"/>
      <w:b/>
      <w:bCs/>
      <w:sz w:val="44"/>
      <w:szCs w:val="32"/>
    </w:rPr>
  </w:style>
  <w:style w:type="paragraph" w:styleId="40">
    <w:name w:val="No Spacing"/>
    <w:qFormat/>
    <w:uiPriority w:val="99"/>
    <w:pPr>
      <w:widowControl w:val="0"/>
      <w:jc w:val="center"/>
    </w:pPr>
    <w:rPr>
      <w:rFonts w:eastAsia="楷体" w:asciiTheme="minorHAnsi" w:hAnsiTheme="minorHAnsi" w:cstheme="minorBidi"/>
      <w:kern w:val="2"/>
      <w:sz w:val="32"/>
      <w:szCs w:val="22"/>
      <w:lang w:val="en-US" w:eastAsia="zh-CN" w:bidi="ar-SA"/>
    </w:rPr>
  </w:style>
  <w:style w:type="character" w:customStyle="1" w:styleId="41">
    <w:name w:val="标题 2 字符"/>
    <w:basedOn w:val="23"/>
    <w:link w:val="3"/>
    <w:qFormat/>
    <w:uiPriority w:val="9"/>
    <w:rPr>
      <w:rFonts w:ascii="Times New Roman" w:hAnsi="Times New Roman" w:eastAsia="楷体" w:cstheme="majorBidi"/>
      <w:bCs/>
      <w:sz w:val="32"/>
      <w:szCs w:val="32"/>
    </w:rPr>
  </w:style>
  <w:style w:type="paragraph" w:customStyle="1" w:styleId="42">
    <w:name w:val="_Style 20"/>
    <w:basedOn w:val="1"/>
    <w:next w:val="1"/>
    <w:uiPriority w:val="0"/>
    <w:pPr>
      <w:widowControl/>
      <w:pBdr>
        <w:bottom w:val="single" w:color="auto" w:sz="6" w:space="1"/>
      </w:pBdr>
      <w:spacing w:after="200" w:line="276" w:lineRule="auto"/>
    </w:pPr>
    <w:rPr>
      <w:rFonts w:ascii="Arial" w:hAnsi="Calibri" w:eastAsia="宋体" w:cs="黑体"/>
      <w:vanish/>
      <w:kern w:val="0"/>
      <w:sz w:val="16"/>
      <w:szCs w:val="22"/>
      <w:lang w:eastAsia="en-US" w:bidi="en-US"/>
    </w:rPr>
  </w:style>
  <w:style w:type="paragraph" w:customStyle="1" w:styleId="43">
    <w:name w:val="_Style 21"/>
    <w:basedOn w:val="1"/>
    <w:next w:val="1"/>
    <w:uiPriority w:val="0"/>
    <w:pPr>
      <w:widowControl/>
      <w:pBdr>
        <w:top w:val="single" w:color="auto" w:sz="6" w:space="1"/>
      </w:pBdr>
      <w:spacing w:after="200" w:line="276" w:lineRule="auto"/>
    </w:pPr>
    <w:rPr>
      <w:rFonts w:ascii="Arial" w:hAnsi="Calibri" w:eastAsia="宋体" w:cs="黑体"/>
      <w:vanish/>
      <w:kern w:val="0"/>
      <w:sz w:val="16"/>
      <w:szCs w:val="22"/>
      <w:lang w:eastAsia="en-US" w:bidi="en-US"/>
    </w:rPr>
  </w:style>
  <w:style w:type="character" w:customStyle="1" w:styleId="44">
    <w:name w:val="fontstyle01"/>
    <w:uiPriority w:val="0"/>
    <w:rPr>
      <w:rFonts w:ascii="仿宋_GB2312" w:hAnsi="仿宋_GB2312" w:eastAsia="仿宋_GB2312" w:cs="仿宋_GB2312"/>
      <w:color w:val="000000"/>
      <w:sz w:val="32"/>
      <w:szCs w:val="32"/>
    </w:rPr>
  </w:style>
  <w:style w:type="character" w:customStyle="1" w:styleId="45">
    <w:name w:val="bds_more"/>
    <w:basedOn w:val="23"/>
    <w:uiPriority w:val="0"/>
  </w:style>
  <w:style w:type="paragraph" w:customStyle="1" w:styleId="46">
    <w:name w:val="sou1"/>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47">
    <w:name w:val="sou"/>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48">
    <w:name w:val="mt4"/>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49">
    <w:name w:val="纯文本 字符"/>
    <w:basedOn w:val="23"/>
    <w:link w:val="14"/>
    <w:uiPriority w:val="0"/>
    <w:rPr>
      <w:rFonts w:ascii="宋体" w:hAnsi="Courier New" w:eastAsia="宋体" w:cs="Times New Roman"/>
      <w:szCs w:val="24"/>
    </w:rPr>
  </w:style>
  <w:style w:type="paragraph" w:customStyle="1" w:styleId="50">
    <w:name w:val="chulibt"/>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51">
    <w:name w:val="time"/>
    <w:basedOn w:val="23"/>
    <w:uiPriority w:val="0"/>
  </w:style>
  <w:style w:type="character" w:customStyle="1" w:styleId="52">
    <w:name w:val="标题 3 字符"/>
    <w:basedOn w:val="23"/>
    <w:link w:val="4"/>
    <w:qFormat/>
    <w:uiPriority w:val="9"/>
    <w:rPr>
      <w:rFonts w:ascii="Times New Roman" w:hAnsi="Times New Roman" w:eastAsia="黑体" w:cs="Times New Roman"/>
      <w:b/>
      <w:bCs/>
      <w:sz w:val="32"/>
      <w:szCs w:val="32"/>
    </w:rPr>
  </w:style>
  <w:style w:type="character" w:customStyle="1" w:styleId="53">
    <w:name w:val="标题 4 字符"/>
    <w:basedOn w:val="23"/>
    <w:link w:val="5"/>
    <w:qFormat/>
    <w:uiPriority w:val="9"/>
    <w:rPr>
      <w:rFonts w:asciiTheme="majorHAnsi" w:hAnsiTheme="majorHAnsi" w:eastAsiaTheme="majorEastAsia" w:cstheme="majorBidi"/>
      <w:b/>
      <w:bCs/>
      <w:sz w:val="28"/>
      <w:szCs w:val="28"/>
    </w:rPr>
  </w:style>
  <w:style w:type="character" w:customStyle="1" w:styleId="54">
    <w:name w:val="标题 5 字符"/>
    <w:basedOn w:val="23"/>
    <w:link w:val="6"/>
    <w:uiPriority w:val="9"/>
    <w:rPr>
      <w:rFonts w:ascii="Times New Roman" w:hAnsi="Times New Roman" w:eastAsia="楷体" w:cs="Times New Roman"/>
      <w:b/>
      <w:bCs/>
      <w:sz w:val="32"/>
      <w:szCs w:val="28"/>
    </w:rPr>
  </w:style>
  <w:style w:type="character" w:customStyle="1" w:styleId="55">
    <w:name w:val="标题 6 字符"/>
    <w:basedOn w:val="23"/>
    <w:link w:val="7"/>
    <w:uiPriority w:val="9"/>
    <w:rPr>
      <w:rFonts w:eastAsia="仿宋" w:asciiTheme="majorHAnsi" w:hAnsiTheme="majorHAnsi" w:cstheme="majorBidi"/>
      <w:b/>
      <w:bCs/>
      <w:sz w:val="32"/>
      <w:szCs w:val="24"/>
    </w:rPr>
  </w:style>
  <w:style w:type="character" w:customStyle="1" w:styleId="56">
    <w:name w:val="标题 7 字符"/>
    <w:basedOn w:val="23"/>
    <w:link w:val="8"/>
    <w:uiPriority w:val="9"/>
    <w:rPr>
      <w:rFonts w:ascii="Times New Roman" w:hAnsi="Times New Roman" w:eastAsia="黑体" w:cs="Times New Roman"/>
      <w:b/>
      <w:bCs/>
      <w:sz w:val="32"/>
      <w:szCs w:val="24"/>
    </w:rPr>
  </w:style>
  <w:style w:type="character" w:customStyle="1" w:styleId="57">
    <w:name w:val="标题 8 字符"/>
    <w:basedOn w:val="23"/>
    <w:link w:val="9"/>
    <w:uiPriority w:val="9"/>
    <w:rPr>
      <w:rFonts w:asciiTheme="majorHAnsi" w:hAnsiTheme="majorHAnsi" w:eastAsiaTheme="majorEastAsia" w:cstheme="majorBidi"/>
      <w:sz w:val="24"/>
      <w:szCs w:val="24"/>
    </w:rPr>
  </w:style>
  <w:style w:type="character" w:customStyle="1" w:styleId="58">
    <w:name w:val="标题 9 字符"/>
    <w:basedOn w:val="23"/>
    <w:link w:val="10"/>
    <w:uiPriority w:val="9"/>
    <w:rPr>
      <w:rFonts w:asciiTheme="majorHAnsi" w:hAnsiTheme="majorHAnsi" w:eastAsiaTheme="majorEastAsia" w:cstheme="majorBidi"/>
      <w:szCs w:val="21"/>
    </w:rPr>
  </w:style>
  <w:style w:type="character" w:customStyle="1" w:styleId="59">
    <w:name w:val="正文文本 字符"/>
    <w:basedOn w:val="23"/>
    <w:link w:val="12"/>
    <w:uiPriority w:val="99"/>
    <w:rPr>
      <w:rFonts w:ascii="仿宋_GB2312" w:hAnsi="Times New Roman" w:eastAsia="仿宋_GB2312" w:cs="仿宋_GB2312"/>
      <w:kern w:val="0"/>
      <w:sz w:val="28"/>
      <w:szCs w:val="28"/>
    </w:rPr>
  </w:style>
  <w:style w:type="paragraph" w:styleId="60">
    <w:name w:val="List Paragraph"/>
    <w:basedOn w:val="1"/>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61">
    <w:name w:val="Table Paragraph"/>
    <w:basedOn w:val="1"/>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62">
    <w:name w:val="ne-p"/>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3">
    <w:name w:val="ne-text"/>
    <w:basedOn w:val="23"/>
    <w:uiPriority w:val="0"/>
  </w:style>
  <w:style w:type="character" w:customStyle="1" w:styleId="64">
    <w:name w:val="副标题 字符"/>
    <w:basedOn w:val="23"/>
    <w:link w:val="18"/>
    <w:uiPriority w:val="11"/>
    <w:rPr>
      <w:b/>
      <w:bCs/>
      <w:kern w:val="28"/>
      <w:sz w:val="32"/>
      <w:szCs w:val="32"/>
    </w:rPr>
  </w:style>
  <w:style w:type="character" w:customStyle="1" w:styleId="65">
    <w:name w:val="Book Title"/>
    <w:basedOn w:val="23"/>
    <w:uiPriority w:val="33"/>
    <w:rPr>
      <w:b/>
      <w:bCs/>
      <w:i/>
      <w:iCs/>
      <w:spacing w:val="5"/>
    </w:rPr>
  </w:style>
  <w:style w:type="paragraph" w:customStyle="1" w:styleId="66">
    <w:name w:val="msonormal"/>
    <w:basedOn w:val="1"/>
    <w:uiPriority w:val="99"/>
    <w:pPr>
      <w:widowControl/>
      <w:spacing w:before="100" w:beforeAutospacing="1" w:after="100" w:afterAutospacing="1" w:line="240" w:lineRule="auto"/>
      <w:ind w:firstLine="0" w:firstLineChars="0"/>
      <w:jc w:val="left"/>
    </w:pPr>
    <w:rPr>
      <w:rFonts w:ascii="PMingLiU" w:hAnsi="PMingLiU" w:eastAsia="PMingLiU" w:cs="PMingLiU"/>
      <w:kern w:val="0"/>
      <w:lang w:eastAsia="zh-TW"/>
    </w:rPr>
  </w:style>
  <w:style w:type="character" w:customStyle="1" w:styleId="67">
    <w:name w:val="未处理的提及2"/>
    <w:basedOn w:val="23"/>
    <w:semiHidden/>
    <w:unhideWhenUsed/>
    <w:uiPriority w:val="99"/>
    <w:rPr>
      <w:color w:val="605E5C"/>
      <w:shd w:val="clear" w:color="auto" w:fill="E1DFDD"/>
    </w:rPr>
  </w:style>
  <w:style w:type="paragraph" w:customStyle="1" w:styleId="68">
    <w:name w:val="一标"/>
    <w:basedOn w:val="2"/>
    <w:link w:val="70"/>
    <w:qFormat/>
    <w:uiPriority w:val="0"/>
    <w:pPr>
      <w:spacing w:line="560" w:lineRule="exact"/>
      <w:ind w:firstLine="200" w:firstLineChars="200"/>
      <w:jc w:val="left"/>
      <w:outlineLvl w:val="9"/>
    </w:pPr>
    <w:rPr>
      <w:rFonts w:eastAsia="黑体"/>
      <w:sz w:val="32"/>
    </w:rPr>
  </w:style>
  <w:style w:type="paragraph" w:customStyle="1" w:styleId="69">
    <w:name w:val="二标"/>
    <w:basedOn w:val="3"/>
    <w:link w:val="72"/>
    <w:qFormat/>
    <w:uiPriority w:val="0"/>
    <w:pPr>
      <w:spacing w:line="560" w:lineRule="exact"/>
      <w:ind w:firstLine="641"/>
      <w:jc w:val="left"/>
    </w:pPr>
  </w:style>
  <w:style w:type="character" w:customStyle="1" w:styleId="70">
    <w:name w:val="一标 Char"/>
    <w:basedOn w:val="30"/>
    <w:link w:val="68"/>
    <w:uiPriority w:val="0"/>
    <w:rPr>
      <w:rFonts w:ascii="Times New Roman" w:hAnsi="Times New Roman" w:eastAsia="黑体"/>
      <w:kern w:val="44"/>
      <w:sz w:val="32"/>
      <w:szCs w:val="44"/>
    </w:rPr>
  </w:style>
  <w:style w:type="paragraph" w:customStyle="1" w:styleId="71">
    <w:name w:val="三标"/>
    <w:basedOn w:val="13"/>
    <w:link w:val="73"/>
    <w:qFormat/>
    <w:uiPriority w:val="0"/>
    <w:pPr>
      <w:ind w:left="0" w:leftChars="0"/>
    </w:pPr>
    <w:rPr>
      <w:b/>
    </w:rPr>
  </w:style>
  <w:style w:type="character" w:customStyle="1" w:styleId="72">
    <w:name w:val="二标 Char"/>
    <w:basedOn w:val="41"/>
    <w:link w:val="69"/>
    <w:uiPriority w:val="0"/>
    <w:rPr>
      <w:rFonts w:ascii="Times New Roman" w:hAnsi="Times New Roman" w:eastAsia="楷体" w:cstheme="majorBidi"/>
      <w:sz w:val="32"/>
      <w:szCs w:val="32"/>
    </w:rPr>
  </w:style>
  <w:style w:type="character" w:customStyle="1" w:styleId="73">
    <w:name w:val="三标 Char"/>
    <w:basedOn w:val="52"/>
    <w:link w:val="71"/>
    <w:uiPriority w:val="0"/>
    <w:rPr>
      <w:rFonts w:ascii="Times New Roman" w:hAnsi="Times New Roman" w:eastAsia="仿宋" w:cs="Times New Roman"/>
      <w:bCs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 Id="rId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C5CE-EE13-487B-B073-280F37B5D2D8}">
  <ds:schemaRefs/>
</ds:datastoreItem>
</file>

<file path=docProps/app.xml><?xml version="1.0" encoding="utf-8"?>
<Properties xmlns="http://schemas.openxmlformats.org/officeDocument/2006/extended-properties" xmlns:vt="http://schemas.openxmlformats.org/officeDocument/2006/docPropsVTypes">
  <Template>Normal</Template>
  <Pages>13</Pages>
  <Words>1109</Words>
  <Characters>6324</Characters>
  <Lines>52</Lines>
  <Paragraphs>14</Paragraphs>
  <TotalTime>12</TotalTime>
  <ScaleCrop>false</ScaleCrop>
  <LinksUpToDate>false</LinksUpToDate>
  <CharactersWithSpaces>7419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2023-01-12T00:48:00Z</dcterms:created>
  <cp:lastModifiedBy>Administrator</cp:lastModifiedBy>
  <dcterms:modified xsi:type="dcterms:W3CDTF">2025-03-19T03:15:40Z</dcterms:modified>
  <cp:revision>13</cp:revision>
  <dc:creator/>
  <cp:category/>
  <dc:description/>
  <cp:keywords/>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30BF26A341E945C390D890FE5C81A206_13</vt:lpwstr>
  </property>
</Properties>
</file>