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区委书记署名文章《用好加减乘除法</w:t>
        </w:r>
        <w:r>
          <w:rPr>
            <w:rStyle w:val="a"/>
            <w:rFonts w:ascii="Times New Roman" w:eastAsia="Times New Roman" w:hAnsi="Times New Roman" w:cs="Times New Roman"/>
            <w:b w:val="0"/>
            <w:bCs w:val="0"/>
            <w:spacing w:val="8"/>
          </w:rPr>
          <w:t xml:space="preserve"> </w:t>
        </w:r>
        <w:r>
          <w:rPr>
            <w:rStyle w:val="a"/>
            <w:rFonts w:ascii="SimSun" w:eastAsia="SimSun" w:hAnsi="SimSun" w:cs="SimSun"/>
            <w:b w:val="0"/>
            <w:bCs w:val="0"/>
            <w:spacing w:val="8"/>
          </w:rPr>
          <w:t>答好大抓基层卷》</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2025-04-08 22:25:06</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12" w:lineRule="atLeast"/>
        <w:ind w:left="300" w:right="300"/>
        <w:jc w:val="center"/>
        <w:rPr>
          <w:rStyle w:val="any"/>
          <w:rFonts w:ascii="Times New Roman" w:eastAsia="Times New Roman" w:hAnsi="Times New Roman" w:cs="Times New Roman"/>
          <w:spacing w:val="30"/>
        </w:rPr>
      </w:pPr>
    </w:p>
    <w:p>
      <w:pPr>
        <w:pStyle w:val="p"/>
        <w:pBdr>
          <w:top w:val="none" w:sz="0" w:space="0" w:color="auto"/>
          <w:left w:val="none" w:sz="0" w:space="0" w:color="auto"/>
          <w:bottom w:val="none" w:sz="0" w:space="0" w:color="auto"/>
          <w:right w:val="none" w:sz="0" w:space="0" w:color="auto"/>
        </w:pBdr>
        <w:spacing w:before="0" w:after="0" w:line="312" w:lineRule="atLeast"/>
        <w:ind w:left="300" w:right="300"/>
        <w:jc w:val="center"/>
        <w:rPr>
          <w:rStyle w:val="any"/>
          <w:rFonts w:ascii="Times New Roman" w:eastAsia="Times New Roman" w:hAnsi="Times New Roman" w:cs="Times New Roman"/>
          <w:spacing w:val="30"/>
        </w:rPr>
      </w:pPr>
      <w:r>
        <w:rPr>
          <w:rStyle w:val="any"/>
          <w:rFonts w:ascii="SimSun" w:eastAsia="SimSun" w:hAnsi="SimSun" w:cs="SimSun"/>
          <w:b/>
          <w:bCs/>
          <w:color w:val="0080FF"/>
          <w:spacing w:val="8"/>
          <w:sz w:val="27"/>
          <w:szCs w:val="27"/>
        </w:rPr>
        <w:t>用好加减乘除法</w:t>
      </w:r>
      <w:r>
        <w:rPr>
          <w:rStyle w:val="any"/>
          <w:rFonts w:ascii="Times New Roman" w:eastAsia="Times New Roman" w:hAnsi="Times New Roman" w:cs="Times New Roman"/>
          <w:b/>
          <w:bCs/>
          <w:color w:val="0080FF"/>
          <w:spacing w:val="8"/>
          <w:sz w:val="27"/>
          <w:szCs w:val="27"/>
        </w:rPr>
        <w:t xml:space="preserve"> </w:t>
      </w:r>
      <w:r>
        <w:rPr>
          <w:rStyle w:val="any"/>
          <w:rFonts w:ascii="SimSun" w:eastAsia="SimSun" w:hAnsi="SimSun" w:cs="SimSun"/>
          <w:b/>
          <w:bCs/>
          <w:color w:val="0080FF"/>
          <w:spacing w:val="8"/>
          <w:sz w:val="27"/>
          <w:szCs w:val="27"/>
        </w:rPr>
        <w:t>答好大抓基层卷</w:t>
      </w:r>
    </w:p>
    <w:p>
      <w:pPr>
        <w:pStyle w:val="p"/>
        <w:pBdr>
          <w:top w:val="none" w:sz="0" w:space="0" w:color="auto"/>
          <w:left w:val="none" w:sz="0" w:space="0" w:color="auto"/>
          <w:bottom w:val="none" w:sz="0" w:space="0" w:color="auto"/>
          <w:right w:val="none" w:sz="0" w:space="0" w:color="auto"/>
        </w:pBdr>
        <w:spacing w:before="0" w:after="0" w:line="312" w:lineRule="atLeast"/>
        <w:ind w:left="300" w:right="300"/>
        <w:jc w:val="center"/>
        <w:rPr>
          <w:rStyle w:val="any"/>
          <w:rFonts w:ascii="Times New Roman" w:eastAsia="Times New Roman" w:hAnsi="Times New Roman" w:cs="Times New Roman"/>
          <w:spacing w:val="30"/>
        </w:rPr>
      </w:pPr>
    </w:p>
    <w:p>
      <w:pPr>
        <w:pStyle w:val="p"/>
        <w:pBdr>
          <w:top w:val="none" w:sz="0" w:space="0" w:color="auto"/>
          <w:left w:val="none" w:sz="0" w:space="0" w:color="auto"/>
          <w:bottom w:val="none" w:sz="0" w:space="0" w:color="auto"/>
          <w:right w:val="none" w:sz="0" w:space="0" w:color="auto"/>
        </w:pBdr>
        <w:spacing w:before="0" w:after="0" w:line="312" w:lineRule="atLeast"/>
        <w:ind w:left="300" w:right="300"/>
        <w:jc w:val="center"/>
        <w:rPr>
          <w:rStyle w:val="any"/>
          <w:rFonts w:ascii="Times New Roman" w:eastAsia="Times New Roman" w:hAnsi="Times New Roman" w:cs="Times New Roman"/>
          <w:spacing w:val="30"/>
        </w:rPr>
      </w:pPr>
      <w:r>
        <w:rPr>
          <w:rStyle w:val="any"/>
          <w:rFonts w:ascii="SimSun" w:eastAsia="SimSun" w:hAnsi="SimSun" w:cs="SimSun"/>
          <w:b w:val="0"/>
          <w:bCs w:val="0"/>
          <w:color w:val="000000"/>
          <w:spacing w:val="8"/>
          <w:sz w:val="26"/>
          <w:szCs w:val="26"/>
        </w:rPr>
        <w:t>秦国良</w:t>
      </w:r>
    </w:p>
    <w:p>
      <w:pPr>
        <w:pStyle w:val="p"/>
        <w:pBdr>
          <w:top w:val="none" w:sz="0" w:space="0" w:color="auto"/>
          <w:left w:val="none" w:sz="0" w:space="0" w:color="auto"/>
          <w:bottom w:val="none" w:sz="0" w:space="0" w:color="auto"/>
          <w:right w:val="none" w:sz="0" w:space="0" w:color="auto"/>
        </w:pBdr>
        <w:spacing w:before="0" w:after="0" w:line="312" w:lineRule="atLeast"/>
        <w:ind w:left="300" w:right="300"/>
        <w:jc w:val="center"/>
        <w:rPr>
          <w:rStyle w:val="any"/>
          <w:rFonts w:ascii="Times New Roman" w:eastAsia="Times New Roman" w:hAnsi="Times New Roman" w:cs="Times New Roman"/>
          <w:spacing w:val="30"/>
        </w:rPr>
      </w:pPr>
      <w:r>
        <w:rPr>
          <w:rStyle w:val="any"/>
          <w:rFonts w:ascii="SimSun" w:eastAsia="SimSun" w:hAnsi="SimSun" w:cs="SimSun"/>
          <w:b w:val="0"/>
          <w:bCs w:val="0"/>
          <w:color w:val="000000"/>
          <w:spacing w:val="8"/>
          <w:sz w:val="26"/>
          <w:szCs w:val="26"/>
        </w:rPr>
        <w:t>湖南省长沙市望城经开区党工委书记、望城区委书记</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Optima-Regular" w:eastAsia="Optima-Regular" w:hAnsi="Optima-Regular" w:cs="Optima-Regular"/>
          <w:spacing w:val="30"/>
        </w:rPr>
        <w:t>近期，中共中央办公厅、国务院办公厅印发《整治形式主义为基层减负若干规定》，首次以党内法规形式制定出台为基层减负的制度规定，进一步向全党全社会表明了持之以恒大抓基层的坚定决心和鲜明态度。长沙市望城区作为湖南省会中心城区，近年来始终坚持大抓基层，综合用好“加减乘除”法，探索了一条强基固本、减负赋能的有效路径。</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Optima-Regular" w:eastAsia="Optima-Regular" w:hAnsi="Optima-Regular" w:cs="Optima-Regular"/>
          <w:b/>
          <w:bCs/>
          <w:color w:val="0080FF"/>
          <w:spacing w:val="30"/>
        </w:rPr>
        <w:t>聚焦保障激励做“加法”，锻强基层筋骨。</w:t>
      </w:r>
      <w:r>
        <w:rPr>
          <w:rStyle w:val="any"/>
          <w:rFonts w:ascii="Optima-Regular" w:eastAsia="Optima-Regular" w:hAnsi="Optima-Regular" w:cs="Optima-Regular"/>
          <w:spacing w:val="30"/>
        </w:rPr>
        <w:t>基层是党的执政之基、力量之源。望城区牢固树立基层优先的理念，制定实施加强基层组织建设三年行动计划，每年投入1000万元提质党群服务阵地，将村级运转经费保障全面提升至100万元以上，稳定提高村（社区）“两委”成员待遇。通过选优配强驻村工作队伍，备足建强村级后备干部，严控严管抽借基层干部，切实保障基层人员力量。持续开展党组织书记“头雁领航”、村（社区）干部“雏鹰奋飞”等主题培训班，求变求新向先进地区学习取经，着力提升基层队伍素质。按照“六个坚持”原则，强化重基层、重实干、重实绩的用人导向，优选年轻干部到基层锻炼成长，拓宽基层干部晋升渠道和空间，开展“真抓实干、担当善为”等先进典型评选，源源不断为基层注入新的动能活力。</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Optima-Regular" w:eastAsia="Optima-Regular" w:hAnsi="Optima-Regular" w:cs="Optima-Regular"/>
          <w:b/>
          <w:bCs/>
          <w:color w:val="0080FF"/>
          <w:spacing w:val="30"/>
        </w:rPr>
        <w:t>聚焦无谓事务做“减法”，卸下基层负担。</w:t>
      </w:r>
      <w:r>
        <w:rPr>
          <w:rStyle w:val="any"/>
          <w:rFonts w:ascii="Optima-Regular" w:eastAsia="Optima-Regular" w:hAnsi="Optima-Regular" w:cs="Optima-Regular"/>
          <w:spacing w:val="30"/>
        </w:rPr>
        <w:t>“上面千条线，下面一根针”，基层作为国家治理的“神经末梢”和“前沿阵地”，日常工作千头万绪、繁重复杂。针对困扰基层的“文山会海”“材料报表”“陪同接待”“督导督查”等问题，望城区出实招、动真格，专门出台了“20+10”减负赋能措施清单。全面推行“无会日”“无会周”“最多报一次”等制度，明确全年精文减会20%以上、报表下降50%以上。严格执行“轻车简从”“四不两直”等规定，全面落实“无扰督查”，大幅精简督检考事项和考核指标。深化智慧政务建设，推动多部门平台归并、数据互通，严控各类APP推广，清理整合各类公众号、工作群，切实减轻“指尖”负担，让基层有更多精力投入主责主业。</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Optima-Regular" w:eastAsia="Optima-Regular" w:hAnsi="Optima-Regular" w:cs="Optima-Regular"/>
          <w:b/>
          <w:bCs/>
          <w:color w:val="0080FF"/>
          <w:spacing w:val="30"/>
        </w:rPr>
        <w:t>聚焦治理创新做“乘法”，提升基层效能。</w:t>
      </w:r>
      <w:r>
        <w:rPr>
          <w:rStyle w:val="any"/>
          <w:rFonts w:ascii="Optima-Regular" w:eastAsia="Optima-Regular" w:hAnsi="Optima-Regular" w:cs="Optima-Regular"/>
          <w:spacing w:val="30"/>
        </w:rPr>
        <w:t>基层治理的效能关乎党中央政令是否畅通、国家大厦基石是否稳固。望城区注重强化党建引领，全面推进“党建聚合力”工程，深入实施基层党建“书记工程”、党员“闪亮工程”，深化片组邻“三长制”“热线+网格、吹哨+报到”和“雷锋家乡学雷锋”等治理模式创新，3.3万名党员、30万学雷锋志愿者嵌入基层治理网格，解决群众身边事、烦心事5万余件，实现服务零距离、管理无盲区。注重强化数字赋能，扎实推动新型智慧城市建设向街镇、村（社区）覆盖，开发人、房、企、事件、城市部件多维数据查采一体的数字平台，打造一批示范性强、带动性广的数字化应用场景，提升基层“智理”能级，连续多年获评“领军智慧城区”。</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Optima-Regular" w:eastAsia="Optima-Regular" w:hAnsi="Optima-Regular" w:cs="Optima-Regular"/>
          <w:b/>
          <w:bCs/>
          <w:color w:val="0080FF"/>
          <w:spacing w:val="30"/>
        </w:rPr>
        <w:t>聚焦顽瘴痼疾做“除法”，改进基层作风。</w:t>
      </w:r>
      <w:r>
        <w:rPr>
          <w:rStyle w:val="any"/>
          <w:rFonts w:ascii="Optima-Regular" w:eastAsia="Optima-Regular" w:hAnsi="Optima-Regular" w:cs="Optima-Regular"/>
          <w:spacing w:val="30"/>
        </w:rPr>
        <w:t>基层党员干部直接与人民群众打交道，一言一行都代表着党和政府的形象。望城区以深入开展党纪学习教育为契机，发扬自我革命精神，大兴务实之风、清廉之风、俭朴之风，以作风之变引领形象之变、助推发展之变。发挥巡察利剑作用，织密基层监督网络，紧盯乡村全面振兴、征地拆迁、项目建设、政务服务、政策落实等方面，扎实推进群众身边不正之风和腐败问题集中整治，严肃查处各类案件，持续释放执纪必严、违法必究的强烈信号。完善管思想、管工作、管作风、管纪律的从严管理机制，标准化、具体化落实“三个区分开来”，推动干部能上能下、能进能出，全面营造奋勇争先的干事创业氛围，不断巩固发展风清气正的良好政治生态。</w:t>
      </w:r>
    </w:p>
    <w:p>
      <w:pPr>
        <w:pStyle w:val="p"/>
        <w:pBdr>
          <w:top w:val="none" w:sz="0" w:space="0" w:color="auto"/>
          <w:left w:val="none" w:sz="0" w:space="0" w:color="auto"/>
          <w:bottom w:val="none" w:sz="0" w:space="0" w:color="auto"/>
          <w:right w:val="none" w:sz="0" w:space="0" w:color="auto"/>
        </w:pBdr>
        <w:spacing w:before="0" w:after="360" w:line="480" w:lineRule="atLeast"/>
        <w:ind w:left="420" w:right="420" w:firstLine="480"/>
        <w:rPr>
          <w:rStyle w:val="any"/>
          <w:rFonts w:ascii="Times New Roman" w:eastAsia="Times New Roman" w:hAnsi="Times New Roman" w:cs="Times New Roman"/>
          <w:spacing w:val="9"/>
        </w:rPr>
      </w:pPr>
      <w:r>
        <w:rPr>
          <w:rStyle w:val="any"/>
          <w:rFonts w:ascii="SimSun" w:eastAsia="SimSun" w:hAnsi="SimSun" w:cs="SimSun"/>
          <w:color w:val="D6D6D6"/>
          <w:spacing w:val="9"/>
          <w:sz w:val="18"/>
          <w:szCs w:val="18"/>
        </w:rPr>
        <w:t>文章来源：大爱湖湘</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90&amp;idx=1&amp;sn=ba3105e91e62bbf095105b3fa1722300"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强者修炼场_2025-04-08_区委书记署名文章《用好加减乘除法 答好大抓基层卷》</dc:title>
  <cp:revision>1</cp:revision>
</cp:coreProperties>
</file>