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毛伟明在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世界计算大会开幕式上的致辞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22:13:41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FF0000"/>
          <w:spacing w:val="8"/>
          <w:sz w:val="27"/>
          <w:szCs w:val="27"/>
        </w:rPr>
        <w:t>在</w:t>
      </w:r>
      <w:r>
        <w:rPr>
          <w:rStyle w:val="any"/>
          <w:rFonts w:ascii="Arial" w:eastAsia="Arial" w:hAnsi="Arial" w:cs="Arial"/>
          <w:b/>
          <w:bCs/>
          <w:color w:val="FF0000"/>
          <w:spacing w:val="8"/>
          <w:sz w:val="27"/>
          <w:szCs w:val="27"/>
        </w:rPr>
        <w:t>2024</w:t>
      </w:r>
      <w:r>
        <w:rPr>
          <w:rStyle w:val="any"/>
          <w:rFonts w:ascii="SimSun" w:eastAsia="SimSun" w:hAnsi="SimSun" w:cs="SimSun"/>
          <w:b/>
          <w:bCs/>
          <w:color w:val="FF0000"/>
          <w:spacing w:val="8"/>
          <w:sz w:val="27"/>
          <w:szCs w:val="27"/>
        </w:rPr>
        <w:t>世界计算大会开幕式上的致辞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000000"/>
          <w:spacing w:val="8"/>
        </w:rPr>
        <w:t>湖南省省长毛伟明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000000"/>
          <w:spacing w:val="8"/>
        </w:rPr>
        <w:t>（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</w:rPr>
        <w:t>2024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</w:rPr>
        <w:t>年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</w:rPr>
        <w:t>9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</w:rPr>
        <w:t>月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</w:rPr>
        <w:t>24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金秋迎佳客，数智谱华章。今天，我们连续第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6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年相聚星城长沙，以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智算万物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·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湘约未来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——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算出新质生产力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为主题，隆重举办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2024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世界计算大会，这是服务制造强国、网络强国、数字中国建设的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生动实践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，是加快实现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三高四新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美好蓝图的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具体行动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。在此，谨代表湖南省委、省人民政府，向各位嘉宾的到来表示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热烈欢迎！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向长期关心支持湖南发展的各界朋友表示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衷心感谢！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当前，推进产业数字化、智能化、绿色化的深度融合，是增强产业核心竞争力的大趋势，而计算和通信两个领域的融合开创了智能计算的新天地，是新质生产力的典型代表，智能计算越来越鲜明地展现出其融合性、基础性、战略性、引领性的产业特征。近年来，湖南乘着数字经济发展的强劲东风，把绿色智能计算作为催生新产业、新模式、新动能的重要抓手，以绿色低碳安全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为保障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，以新一代信息技术产业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为核心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，以多元化场景应用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为拓展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，构建起覆盖软硬件产品及研发、应用、服务的完整产业生态，形成了具有湖南特色的新质生产力。借此机会，我讲三层意思。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C00000"/>
          <w:spacing w:val="8"/>
          <w:sz w:val="26"/>
          <w:szCs w:val="26"/>
        </w:rPr>
        <w:t>这是一个极具战略意义的新产业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对绿色智能计算产业发展，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总书记有战略引领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——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提出要把新一代人工智能作为推动科技跨越发展、产业优化升级、生产力整体跃升的驱动力量，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国家有战略部署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——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五强一数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战略明确要打造新一代信息技术、人工智能等新的增长引擎，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湖南有战略承接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——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我们坚持顶层设计、前瞻布局，率先提出打造示范区、先导区、集聚区，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信创产业从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首创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迈向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首位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成为全国唯一计算领域先进制造集群；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北斗从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天边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走向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身边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聚集了全国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80%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以上核心技术资源、产业规模占全国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8%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；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音视频从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融合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转向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融创</w:t>
      </w:r>
      <w:r>
        <w:rPr>
          <w:rStyle w:val="any"/>
          <w:rFonts w:ascii="Arial" w:eastAsia="Arial" w:hAnsi="Arial" w:cs="Arial"/>
          <w:b w:val="0"/>
          <w:bCs w:val="0"/>
          <w:color w:val="C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正在打造全国领先的部省共建文化和科技融合示范基地。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C00000"/>
          <w:spacing w:val="8"/>
          <w:sz w:val="26"/>
          <w:szCs w:val="26"/>
        </w:rPr>
        <w:t>这是一条极具成长潜力的新赛道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绿色智能计算发展空间广阔、潜力巨大、动能强劲。湖南锚定这个引领变革、活力迸发的崭新赛道，率先起跑、加速快跑、奋力领跑，形成了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四个优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的先发优势。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我们构筑了优厚的基础条件，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坚持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算力、算法、算据、算网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四算一体，全省总算力超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6000PF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，智能算力达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1600PF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、占比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27%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，超算算力达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200PF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，居全国第三、世界前列；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壮大了优质的产业集群，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坚持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链主、链长、链生态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协同发展，形成了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“1+3+N”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产业格局（即打造国家级绿色智能计算产业，自主安全计算、北斗规模应用、音视频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3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大支柱产业，功率半导体、新型显示、大数据等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N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个关联产业），计算产业总产值达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7150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亿元、占全国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7.3%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；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打造了优越的发展平台，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坚持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大院、大校、大企业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协同发力，建好用好湘江实验室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1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家综合型实验室，国家超算长沙中心等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类公共算力中心，长沙智谷等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3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个产业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谷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，国家网络安全产业园区等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4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大国家级园区；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培育了优渥的产业生态，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坚持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电力、算力、动力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一体发力，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“139”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系列政策精准滴灌（即湖南省强化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三力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支撑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1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个规划，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三力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支撑能力提升行动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3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个方案，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三力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领域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9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大标志性工程），金芙蓉投资基金列阵成势，计算人才体系智力富集，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两芯一生态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成为首选技术路线，国产计算机本地配套率达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90%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C00000"/>
          <w:spacing w:val="8"/>
          <w:sz w:val="26"/>
          <w:szCs w:val="26"/>
        </w:rPr>
        <w:t>这是一片极具投资回报的新蓝海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人工智能赋能千行百业，绿色智能计算产业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井喷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发展，预计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2025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年我省产业规模将突破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1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万亿元，力争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2030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年达到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2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万亿元左右，培育形成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8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个以上特色产业集群、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10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个以上特色产业园区。绿色智能计算将带给我们无尽机遇、无限可能，希望大家在这片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新蓝海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中扬帆破浪、筑梦远航。这里，诚挚邀请大家和我们一起：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深度参与打造一流自主安全计算产业集群，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在专用软硬件研发、核心技术攻关、兼容适配、运维服务等领域深化合作，助推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自主安全计算产业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生态不断完善、体系不断完备。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深度参与打造全国北斗高质量发展集聚区，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协同加强面向下一代的先进技术研发、智能制造，助推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北斗规模应用产业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技术加速集成、配套加速集聚。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深度参与打造全国领先音视频产业集群，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携手推进马栏山视频文创产业园建设，布局融入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采编播传显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多元化产业格局，助推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音视频产业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底蕴更加深厚、前景更加深远。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深度参与打造国家绿色智能计算产业引领区，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强化硬件和软件协同、标准和成果转化、制造和应用互动，助推</w:t>
      </w: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计算关联产业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优势全面互补、市场全面互联。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水深则鱼悦，田沃则稻香。我们将持续打造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三化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一流营商环境，擦亮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身在湖南、办事不难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品牌，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为大家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提供更好条件、更实政策、更优服务，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让大家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创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有广阔天地、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“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投</w:t>
      </w:r>
      <w:r>
        <w:rPr>
          <w:rStyle w:val="any"/>
          <w:rFonts w:ascii="Arial" w:eastAsia="Arial" w:hAnsi="Arial" w:cs="Arial"/>
          <w:color w:val="000000"/>
          <w:spacing w:val="8"/>
          <w:sz w:val="26"/>
          <w:szCs w:val="26"/>
        </w:rPr>
        <w:t>”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有无限商机，</w:t>
      </w:r>
      <w:r>
        <w:rPr>
          <w:rStyle w:val="any"/>
          <w:rFonts w:ascii="SimSun" w:eastAsia="SimSun" w:hAnsi="SimSun" w:cs="SimSun"/>
          <w:b w:val="0"/>
          <w:bCs w:val="0"/>
          <w:color w:val="C00000"/>
          <w:spacing w:val="8"/>
          <w:sz w:val="26"/>
          <w:szCs w:val="26"/>
        </w:rPr>
        <w:t>与大家</w:t>
      </w:r>
      <w:r>
        <w:rPr>
          <w:rStyle w:val="any"/>
          <w:rFonts w:ascii="SimSun" w:eastAsia="SimSun" w:hAnsi="SimSun" w:cs="SimSun"/>
          <w:color w:val="000000"/>
          <w:spacing w:val="8"/>
          <w:sz w:val="26"/>
          <w:szCs w:val="26"/>
        </w:rPr>
        <w:t>共享发展机遇、共创美好未来！</w:t>
      </w:r>
    </w:p>
    <w:p>
      <w:pP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000000"/>
          <w:spacing w:val="8"/>
          <w:sz w:val="26"/>
          <w:szCs w:val="26"/>
        </w:rPr>
        <w:t>来源：湖南省政府门户网站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884&amp;idx=3&amp;sn=5d65c01e1471d84b12edc2ebd64415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强者修炼场_2025-04-07_毛伟明在2024世界计算大会开幕式上的致辞</dc:title>
  <cp:revision>1</cp:revision>
</cp:coreProperties>
</file>